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9D" w:rsidRDefault="004D1EB9" w:rsidP="004D1EB9">
      <w:pPr>
        <w:pStyle w:val="Heading1"/>
      </w:pPr>
      <w:r>
        <w:t>8</w:t>
      </w:r>
      <w:r>
        <w:tab/>
      </w:r>
      <w:r w:rsidR="002D0D73">
        <w:t>COMPANY FAILURE – WINDING-UP AND INSOLVENCY</w:t>
      </w:r>
    </w:p>
    <w:p w:rsidR="00AD07FA" w:rsidRDefault="004D1EB9" w:rsidP="00FC5EF8">
      <w:pPr>
        <w:pStyle w:val="Heading2"/>
      </w:pPr>
      <w:r>
        <w:t>8.1</w:t>
      </w:r>
      <w:r>
        <w:tab/>
      </w:r>
      <w:r w:rsidR="00AD07FA">
        <w:t>Introduction</w:t>
      </w:r>
    </w:p>
    <w:p w:rsidR="002D0D73" w:rsidRDefault="002D0D73">
      <w:pPr>
        <w:contextualSpacing/>
      </w:pPr>
      <w:r>
        <w:t xml:space="preserve">The insolvency of a company is akin to the serious illness of a physical person; the winding up of the company (or its </w:t>
      </w:r>
      <w:r w:rsidRPr="00C32F8F">
        <w:rPr>
          <w:u w:val="single"/>
        </w:rPr>
        <w:t>liquidation</w:t>
      </w:r>
      <w:r>
        <w:t xml:space="preserve">, as it is also called) is its death. It used to be that insolvency was a precursor to liquidation. This has been changed by the recent enactment of </w:t>
      </w:r>
      <w:r w:rsidR="00D41538">
        <w:t>the Insolvency Act 2013, which allows the survival of a company</w:t>
      </w:r>
      <w:r>
        <w:t xml:space="preserve"> </w:t>
      </w:r>
      <w:r w:rsidR="00D41538">
        <w:t xml:space="preserve">which is in financial difficulty. </w:t>
      </w:r>
      <w:r w:rsidR="00C32F8F">
        <w:t xml:space="preserve">On the other hand, companies which are not in financial difficulty can also be wound up, and usually are through the process of voluntary liquidation. </w:t>
      </w:r>
    </w:p>
    <w:p w:rsidR="00AD07FA" w:rsidRDefault="00AD07FA">
      <w:pPr>
        <w:contextualSpacing/>
      </w:pPr>
    </w:p>
    <w:p w:rsidR="00AD07FA" w:rsidRDefault="00AD07FA">
      <w:pPr>
        <w:contextualSpacing/>
      </w:pPr>
      <w:r>
        <w:t>The Companies Act, 1972 which had hitherto been the sole repository of the substantive law regarding winding up (the procedural law being in the Companies (Winding up) Regulations 1975) has now been joined by the Insolvency Act which in many respects duplicates the provisions of the Companies Act, without repealing them. Consequently, the two statutes will have to be read together.</w:t>
      </w:r>
    </w:p>
    <w:p w:rsidR="00AD07FA" w:rsidRDefault="00AD07FA">
      <w:pPr>
        <w:contextualSpacing/>
      </w:pPr>
    </w:p>
    <w:tbl>
      <w:tblPr>
        <w:tblStyle w:val="TableGrid"/>
        <w:tblW w:w="0" w:type="auto"/>
        <w:tblInd w:w="817" w:type="dxa"/>
        <w:shd w:val="clear" w:color="auto" w:fill="D9D9D9" w:themeFill="background1" w:themeFillShade="D9"/>
        <w:tblLook w:val="04A0"/>
      </w:tblPr>
      <w:tblGrid>
        <w:gridCol w:w="8363"/>
      </w:tblGrid>
      <w:tr w:rsidR="00AD07FA" w:rsidRPr="00AD07FA" w:rsidTr="00AD07FA">
        <w:tc>
          <w:tcPr>
            <w:tcW w:w="8363" w:type="dxa"/>
            <w:shd w:val="clear" w:color="auto" w:fill="D9D9D9" w:themeFill="background1" w:themeFillShade="D9"/>
          </w:tcPr>
          <w:p w:rsidR="00AD07FA" w:rsidRPr="00AD07FA" w:rsidRDefault="00AD07FA" w:rsidP="00AD07FA">
            <w:pPr>
              <w:ind w:left="0"/>
              <w:contextualSpacing/>
              <w:jc w:val="center"/>
              <w:rPr>
                <w:b/>
              </w:rPr>
            </w:pPr>
            <w:r w:rsidRPr="00AD07FA">
              <w:rPr>
                <w:b/>
              </w:rPr>
              <w:t>Insolvency Act 2013, section 388</w:t>
            </w:r>
          </w:p>
        </w:tc>
      </w:tr>
      <w:tr w:rsidR="00AD07FA" w:rsidRPr="00AD07FA" w:rsidTr="00AD07FA">
        <w:tc>
          <w:tcPr>
            <w:tcW w:w="8363" w:type="dxa"/>
            <w:shd w:val="clear" w:color="auto" w:fill="D9D9D9" w:themeFill="background1" w:themeFillShade="D9"/>
          </w:tcPr>
          <w:p w:rsidR="00AD07FA" w:rsidRPr="00AD07FA" w:rsidRDefault="00AD07FA" w:rsidP="002B3478">
            <w:pPr>
              <w:ind w:left="0"/>
              <w:contextualSpacing/>
            </w:pPr>
            <w:r w:rsidRPr="00AD07FA">
              <w:t>The provisions of this Act shall be i</w:t>
            </w:r>
            <w:r>
              <w:t>n</w:t>
            </w:r>
            <w:r w:rsidRPr="00AD07FA">
              <w:t xml:space="preserve"> addition to and not in derogation of the provisions of the Companies Act.</w:t>
            </w:r>
          </w:p>
        </w:tc>
      </w:tr>
    </w:tbl>
    <w:p w:rsidR="00C32F8F" w:rsidRDefault="00C32F8F">
      <w:pPr>
        <w:contextualSpacing/>
      </w:pPr>
    </w:p>
    <w:p w:rsidR="00C32F8F" w:rsidRDefault="00FC5EF8" w:rsidP="00FC5EF8">
      <w:pPr>
        <w:pStyle w:val="Heading2"/>
      </w:pPr>
      <w:r>
        <w:t>8.2</w:t>
      </w:r>
      <w:r>
        <w:tab/>
      </w:r>
      <w:r w:rsidR="002C4A8A">
        <w:t>Winding up</w:t>
      </w:r>
    </w:p>
    <w:p w:rsidR="002C4A8A" w:rsidRDefault="002C4A8A">
      <w:pPr>
        <w:contextualSpacing/>
      </w:pPr>
      <w:r>
        <w:t xml:space="preserve">This is the process by which a company’s assets are collected and realised, its debts paid and any surplus distributed in accordance with its articles of association (usually among the shareholders, pro rata). In order to complete the process, a company which is liquidated is </w:t>
      </w:r>
      <w:r w:rsidRPr="008B47CC">
        <w:rPr>
          <w:u w:val="single"/>
        </w:rPr>
        <w:t>dissolved</w:t>
      </w:r>
      <w:r>
        <w:t xml:space="preserve">. Winding up can be either </w:t>
      </w:r>
      <w:r w:rsidRPr="002C4A8A">
        <w:rPr>
          <w:u w:val="single"/>
        </w:rPr>
        <w:t>voluntary</w:t>
      </w:r>
      <w:r>
        <w:t xml:space="preserve"> or </w:t>
      </w:r>
      <w:r w:rsidRPr="002C4A8A">
        <w:rPr>
          <w:u w:val="single"/>
        </w:rPr>
        <w:t>compulsory</w:t>
      </w:r>
      <w:r w:rsidR="00AD5EE7">
        <w:t xml:space="preserve"> (by the court)</w:t>
      </w:r>
      <w:r>
        <w:t>.</w:t>
      </w:r>
    </w:p>
    <w:p w:rsidR="00AD5EE7" w:rsidRDefault="00AD5EE7" w:rsidP="00663F03">
      <w:pPr>
        <w:autoSpaceDE w:val="0"/>
        <w:autoSpaceDN w:val="0"/>
        <w:adjustRightInd w:val="0"/>
        <w:spacing w:before="0" w:after="0"/>
        <w:ind w:left="0"/>
        <w:jc w:val="left"/>
        <w:rPr>
          <w:rFonts w:eastAsia="TimesNewRoman" w:cs="Times New Roman"/>
          <w:szCs w:val="24"/>
        </w:rPr>
      </w:pPr>
    </w:p>
    <w:tbl>
      <w:tblPr>
        <w:tblStyle w:val="TableGrid"/>
        <w:tblW w:w="0" w:type="auto"/>
        <w:tblInd w:w="817" w:type="dxa"/>
        <w:shd w:val="clear" w:color="auto" w:fill="D9D9D9" w:themeFill="background1" w:themeFillShade="D9"/>
        <w:tblLook w:val="04A0"/>
      </w:tblPr>
      <w:tblGrid>
        <w:gridCol w:w="8363"/>
      </w:tblGrid>
      <w:tr w:rsidR="00AD5EE7" w:rsidRPr="00AD5EE7" w:rsidTr="00AD5EE7">
        <w:tc>
          <w:tcPr>
            <w:tcW w:w="8363" w:type="dxa"/>
            <w:shd w:val="clear" w:color="auto" w:fill="D9D9D9" w:themeFill="background1" w:themeFillShade="D9"/>
          </w:tcPr>
          <w:p w:rsidR="00AD5EE7" w:rsidRPr="00AD5EE7" w:rsidRDefault="00AD5EE7" w:rsidP="00AD5EE7">
            <w:pPr>
              <w:autoSpaceDE w:val="0"/>
              <w:autoSpaceDN w:val="0"/>
              <w:adjustRightInd w:val="0"/>
              <w:ind w:left="0"/>
              <w:jc w:val="center"/>
              <w:rPr>
                <w:rFonts w:eastAsia="TimesNewRoman" w:cs="Times New Roman"/>
                <w:b/>
                <w:szCs w:val="24"/>
              </w:rPr>
            </w:pPr>
            <w:r w:rsidRPr="00AD5EE7">
              <w:rPr>
                <w:rFonts w:eastAsia="TimesNewRoman" w:cs="Times New Roman"/>
                <w:b/>
                <w:szCs w:val="24"/>
              </w:rPr>
              <w:t xml:space="preserve">Section 202 </w:t>
            </w:r>
            <w:r w:rsidRPr="00AD5EE7">
              <w:rPr>
                <w:rFonts w:eastAsia="TimesNewRoman" w:cs="Times New Roman"/>
                <w:b/>
                <w:sz w:val="24"/>
                <w:szCs w:val="24"/>
              </w:rPr>
              <w:t>(1)</w:t>
            </w:r>
          </w:p>
        </w:tc>
      </w:tr>
      <w:tr w:rsidR="00AD5EE7" w:rsidRPr="00AD5EE7" w:rsidTr="00AD5EE7">
        <w:trPr>
          <w:trHeight w:val="848"/>
        </w:trPr>
        <w:tc>
          <w:tcPr>
            <w:tcW w:w="8363" w:type="dxa"/>
            <w:tcBorders>
              <w:bottom w:val="single" w:sz="4" w:space="0" w:color="auto"/>
            </w:tcBorders>
            <w:shd w:val="clear" w:color="auto" w:fill="D9D9D9" w:themeFill="background1" w:themeFillShade="D9"/>
          </w:tcPr>
          <w:p w:rsidR="00AD5EE7" w:rsidRPr="00AD5EE7" w:rsidRDefault="00AD5EE7" w:rsidP="002B3478">
            <w:pPr>
              <w:autoSpaceDE w:val="0"/>
              <w:autoSpaceDN w:val="0"/>
              <w:adjustRightInd w:val="0"/>
              <w:ind w:left="0"/>
              <w:jc w:val="left"/>
              <w:rPr>
                <w:rFonts w:eastAsia="TimesNewRoman" w:cs="Times New Roman"/>
                <w:sz w:val="24"/>
                <w:szCs w:val="24"/>
              </w:rPr>
            </w:pPr>
            <w:r w:rsidRPr="00AD5EE7">
              <w:rPr>
                <w:rFonts w:eastAsia="TimesNewRoman" w:cs="Times New Roman"/>
                <w:sz w:val="24"/>
                <w:szCs w:val="24"/>
              </w:rPr>
              <w:t>The winding up of a company may be either -</w:t>
            </w:r>
          </w:p>
          <w:p w:rsidR="00AD5EE7" w:rsidRPr="00AD5EE7" w:rsidRDefault="00AD5EE7" w:rsidP="002B3478">
            <w:pPr>
              <w:autoSpaceDE w:val="0"/>
              <w:autoSpaceDN w:val="0"/>
              <w:adjustRightInd w:val="0"/>
              <w:ind w:left="0"/>
              <w:jc w:val="left"/>
              <w:rPr>
                <w:rFonts w:eastAsia="TimesNewRoman" w:cs="Times New Roman"/>
                <w:sz w:val="24"/>
                <w:szCs w:val="24"/>
              </w:rPr>
            </w:pPr>
            <w:r w:rsidRPr="00AD5EE7">
              <w:rPr>
                <w:rFonts w:eastAsia="TimesNewRoman" w:cs="Times New Roman"/>
                <w:sz w:val="24"/>
                <w:szCs w:val="24"/>
              </w:rPr>
              <w:t>(a) by the court; or</w:t>
            </w:r>
          </w:p>
          <w:p w:rsidR="00AD5EE7" w:rsidRPr="00AD5EE7" w:rsidRDefault="00AD5EE7" w:rsidP="002B3478">
            <w:pPr>
              <w:autoSpaceDE w:val="0"/>
              <w:autoSpaceDN w:val="0"/>
              <w:adjustRightInd w:val="0"/>
              <w:ind w:left="0"/>
              <w:jc w:val="left"/>
              <w:rPr>
                <w:rFonts w:eastAsia="TimesNewRoman" w:cs="Times New Roman"/>
                <w:szCs w:val="24"/>
              </w:rPr>
            </w:pPr>
            <w:r w:rsidRPr="00AD5EE7">
              <w:rPr>
                <w:rFonts w:eastAsia="TimesNewRoman" w:cs="Times New Roman"/>
                <w:sz w:val="24"/>
                <w:szCs w:val="24"/>
              </w:rPr>
              <w:t xml:space="preserve">(b) </w:t>
            </w:r>
            <w:proofErr w:type="gramStart"/>
            <w:r w:rsidRPr="00AD5EE7">
              <w:rPr>
                <w:rFonts w:eastAsia="TimesNewRoman" w:cs="Times New Roman"/>
                <w:sz w:val="24"/>
                <w:szCs w:val="24"/>
              </w:rPr>
              <w:t>voluntary</w:t>
            </w:r>
            <w:proofErr w:type="gramEnd"/>
            <w:r w:rsidRPr="00AD5EE7">
              <w:rPr>
                <w:rFonts w:eastAsia="TimesNewRoman" w:cs="Times New Roman"/>
                <w:sz w:val="24"/>
                <w:szCs w:val="24"/>
              </w:rPr>
              <w:t>.</w:t>
            </w:r>
          </w:p>
        </w:tc>
      </w:tr>
    </w:tbl>
    <w:p w:rsidR="002C4A8A" w:rsidRDefault="002C4A8A">
      <w:pPr>
        <w:contextualSpacing/>
      </w:pPr>
    </w:p>
    <w:p w:rsidR="00845FC6" w:rsidRDefault="00FC5EF8" w:rsidP="00FC5EF8">
      <w:pPr>
        <w:pStyle w:val="Heading3"/>
      </w:pPr>
      <w:r>
        <w:t>8.2.1</w:t>
      </w:r>
      <w:r>
        <w:tab/>
      </w:r>
      <w:r w:rsidR="00845FC6">
        <w:t>Compulsory Winding up</w:t>
      </w:r>
    </w:p>
    <w:p w:rsidR="00845FC6" w:rsidRDefault="00845FC6">
      <w:pPr>
        <w:contextualSpacing/>
      </w:pPr>
      <w:r>
        <w:t xml:space="preserve">This occurs where the court orders the company wound up upon an application made by a person having the right to do so. </w:t>
      </w:r>
      <w:r w:rsidR="008B47CC">
        <w:t xml:space="preserve">This mode of winding up is called winding up by the court in both Acts. </w:t>
      </w:r>
    </w:p>
    <w:p w:rsidR="00FC5EF8" w:rsidRDefault="00FC5EF8">
      <w:r>
        <w:br w:type="page"/>
      </w:r>
    </w:p>
    <w:p w:rsidR="008B47CC" w:rsidRDefault="00FC5EF8" w:rsidP="00FC5EF8">
      <w:pPr>
        <w:pStyle w:val="Heading4"/>
      </w:pPr>
      <w:r>
        <w:lastRenderedPageBreak/>
        <w:t>8.2.1.1</w:t>
      </w:r>
      <w:r>
        <w:tab/>
      </w:r>
      <w:r>
        <w:tab/>
      </w:r>
      <w:r w:rsidR="008B47CC">
        <w:t>Grounds</w:t>
      </w:r>
    </w:p>
    <w:p w:rsidR="008B47CC" w:rsidRDefault="008B47CC">
      <w:pPr>
        <w:contextualSpacing/>
      </w:pPr>
      <w:r>
        <w:t>The grounds in the Companies Act are the following six:</w:t>
      </w:r>
    </w:p>
    <w:p w:rsidR="008B47CC" w:rsidRDefault="008B47CC" w:rsidP="008B47CC">
      <w:pPr>
        <w:autoSpaceDE w:val="0"/>
        <w:autoSpaceDN w:val="0"/>
        <w:adjustRightInd w:val="0"/>
        <w:spacing w:before="0" w:after="0"/>
        <w:ind w:left="0"/>
        <w:jc w:val="left"/>
        <w:rPr>
          <w:rFonts w:ascii="TimesNewRoman" w:eastAsia="TimesNewRoman" w:hAnsiTheme="minorHAnsi" w:cs="TimesNewRoman"/>
          <w:sz w:val="19"/>
          <w:szCs w:val="19"/>
        </w:rPr>
      </w:pPr>
    </w:p>
    <w:tbl>
      <w:tblPr>
        <w:tblStyle w:val="TableGrid"/>
        <w:tblW w:w="0" w:type="auto"/>
        <w:tblInd w:w="817" w:type="dxa"/>
        <w:shd w:val="clear" w:color="auto" w:fill="D9D9D9" w:themeFill="background1" w:themeFillShade="D9"/>
        <w:tblLook w:val="04A0"/>
      </w:tblPr>
      <w:tblGrid>
        <w:gridCol w:w="8363"/>
      </w:tblGrid>
      <w:tr w:rsidR="008B47CC" w:rsidRPr="008B47CC" w:rsidTr="008B47CC">
        <w:tc>
          <w:tcPr>
            <w:tcW w:w="8363" w:type="dxa"/>
            <w:shd w:val="clear" w:color="auto" w:fill="D9D9D9" w:themeFill="background1" w:themeFillShade="D9"/>
          </w:tcPr>
          <w:p w:rsidR="008B47CC" w:rsidRPr="008B47CC" w:rsidRDefault="008B47CC" w:rsidP="008B47CC">
            <w:pPr>
              <w:autoSpaceDE w:val="0"/>
              <w:autoSpaceDN w:val="0"/>
              <w:adjustRightInd w:val="0"/>
              <w:ind w:left="0"/>
              <w:jc w:val="center"/>
              <w:rPr>
                <w:rFonts w:eastAsia="TimesNewRoman" w:cs="Times New Roman"/>
                <w:b/>
                <w:szCs w:val="24"/>
              </w:rPr>
            </w:pPr>
            <w:r w:rsidRPr="008B47CC">
              <w:rPr>
                <w:rFonts w:eastAsia="TimesNewRoman" w:cs="Times New Roman"/>
                <w:b/>
                <w:szCs w:val="24"/>
              </w:rPr>
              <w:t>Companies Act, section 205</w:t>
            </w:r>
          </w:p>
        </w:tc>
      </w:tr>
      <w:tr w:rsidR="008B47CC" w:rsidRPr="008B47CC" w:rsidTr="00FC5EF8">
        <w:trPr>
          <w:trHeight w:val="3268"/>
        </w:trPr>
        <w:tc>
          <w:tcPr>
            <w:tcW w:w="8363" w:type="dxa"/>
            <w:tcBorders>
              <w:bottom w:val="single" w:sz="4" w:space="0" w:color="auto"/>
            </w:tcBorders>
            <w:shd w:val="clear" w:color="auto" w:fill="D9D9D9" w:themeFill="background1" w:themeFillShade="D9"/>
          </w:tcPr>
          <w:p w:rsidR="008B47CC" w:rsidRPr="008B47CC" w:rsidRDefault="008B47CC" w:rsidP="002B3478">
            <w:pPr>
              <w:autoSpaceDE w:val="0"/>
              <w:autoSpaceDN w:val="0"/>
              <w:adjustRightInd w:val="0"/>
              <w:ind w:left="0"/>
              <w:jc w:val="left"/>
              <w:rPr>
                <w:rFonts w:eastAsia="TimesNewRoman" w:cs="Times New Roman"/>
                <w:sz w:val="24"/>
                <w:szCs w:val="24"/>
              </w:rPr>
            </w:pPr>
            <w:r w:rsidRPr="008B47CC">
              <w:rPr>
                <w:rFonts w:eastAsia="TimesNewRoman" w:cs="Times New Roman"/>
                <w:sz w:val="24"/>
                <w:szCs w:val="24"/>
              </w:rPr>
              <w:t>(a) the company has by special resolution resolved that the company be wound up by the</w:t>
            </w:r>
            <w:r w:rsidR="00FC5EF8">
              <w:rPr>
                <w:rFonts w:eastAsia="TimesNewRoman" w:cs="Times New Roman"/>
                <w:sz w:val="24"/>
                <w:szCs w:val="24"/>
              </w:rPr>
              <w:t xml:space="preserve"> </w:t>
            </w:r>
            <w:r w:rsidRPr="008B47CC">
              <w:rPr>
                <w:rFonts w:eastAsia="TimesNewRoman" w:cs="Times New Roman"/>
                <w:sz w:val="24"/>
                <w:szCs w:val="24"/>
              </w:rPr>
              <w:t>court;</w:t>
            </w:r>
          </w:p>
          <w:p w:rsidR="008B47CC" w:rsidRPr="008B47CC" w:rsidRDefault="008B47CC" w:rsidP="002B3478">
            <w:pPr>
              <w:autoSpaceDE w:val="0"/>
              <w:autoSpaceDN w:val="0"/>
              <w:adjustRightInd w:val="0"/>
              <w:ind w:left="0"/>
              <w:jc w:val="left"/>
              <w:rPr>
                <w:rFonts w:eastAsia="TimesNewRoman" w:cs="Times New Roman"/>
                <w:sz w:val="24"/>
                <w:szCs w:val="24"/>
              </w:rPr>
            </w:pPr>
            <w:r w:rsidRPr="008B47CC">
              <w:rPr>
                <w:rFonts w:eastAsia="TimesNewRoman" w:cs="Times New Roman"/>
                <w:sz w:val="24"/>
                <w:szCs w:val="24"/>
              </w:rPr>
              <w:t>(b) the company does not commence its business within a year from its incorporation or</w:t>
            </w:r>
            <w:r w:rsidR="00FC5EF8">
              <w:rPr>
                <w:rFonts w:eastAsia="TimesNewRoman" w:cs="Times New Roman"/>
                <w:sz w:val="24"/>
                <w:szCs w:val="24"/>
              </w:rPr>
              <w:t xml:space="preserve"> </w:t>
            </w:r>
            <w:r w:rsidRPr="008B47CC">
              <w:rPr>
                <w:rFonts w:eastAsia="TimesNewRoman" w:cs="Times New Roman"/>
                <w:sz w:val="24"/>
                <w:szCs w:val="24"/>
              </w:rPr>
              <w:t>suspends its business for a whole year;</w:t>
            </w:r>
          </w:p>
          <w:p w:rsidR="008B47CC" w:rsidRPr="008B47CC" w:rsidRDefault="008B47CC" w:rsidP="002B3478">
            <w:pPr>
              <w:autoSpaceDE w:val="0"/>
              <w:autoSpaceDN w:val="0"/>
              <w:adjustRightInd w:val="0"/>
              <w:ind w:left="0"/>
              <w:jc w:val="left"/>
              <w:rPr>
                <w:rFonts w:eastAsia="TimesNewRoman" w:cs="Times New Roman"/>
                <w:sz w:val="24"/>
                <w:szCs w:val="24"/>
              </w:rPr>
            </w:pPr>
            <w:r w:rsidRPr="008B47CC">
              <w:rPr>
                <w:rFonts w:eastAsia="TimesNewRoman" w:cs="Times New Roman"/>
                <w:sz w:val="24"/>
                <w:szCs w:val="24"/>
              </w:rPr>
              <w:t>(c) the number of members is reduced below two;</w:t>
            </w:r>
          </w:p>
          <w:p w:rsidR="008B47CC" w:rsidRPr="008B47CC" w:rsidRDefault="008B47CC" w:rsidP="002B3478">
            <w:pPr>
              <w:autoSpaceDE w:val="0"/>
              <w:autoSpaceDN w:val="0"/>
              <w:adjustRightInd w:val="0"/>
              <w:ind w:left="0"/>
              <w:jc w:val="left"/>
              <w:rPr>
                <w:rFonts w:eastAsia="TimesNewRoman" w:cs="Times New Roman"/>
                <w:sz w:val="24"/>
                <w:szCs w:val="24"/>
              </w:rPr>
            </w:pPr>
            <w:r w:rsidRPr="008B47CC">
              <w:rPr>
                <w:rFonts w:eastAsia="TimesNewRoman" w:cs="Times New Roman"/>
                <w:sz w:val="24"/>
                <w:szCs w:val="24"/>
              </w:rPr>
              <w:t>(d) the company is unable to pay its debts;</w:t>
            </w:r>
          </w:p>
          <w:p w:rsidR="00645EC4" w:rsidRPr="008B47CC" w:rsidRDefault="008B47CC" w:rsidP="002B3478">
            <w:pPr>
              <w:autoSpaceDE w:val="0"/>
              <w:autoSpaceDN w:val="0"/>
              <w:adjustRightInd w:val="0"/>
              <w:ind w:left="0"/>
              <w:jc w:val="left"/>
              <w:rPr>
                <w:rFonts w:eastAsia="TimesNewRoman" w:cs="Times New Roman"/>
                <w:sz w:val="24"/>
                <w:szCs w:val="24"/>
              </w:rPr>
            </w:pPr>
            <w:r w:rsidRPr="008B47CC">
              <w:rPr>
                <w:rFonts w:eastAsia="TimesNewRoman" w:cs="Times New Roman"/>
                <w:sz w:val="24"/>
                <w:szCs w:val="24"/>
              </w:rPr>
              <w:t>(e) the company is a proprietary company and a ground exists on which the court may</w:t>
            </w:r>
            <w:r w:rsidR="00FC5EF8">
              <w:rPr>
                <w:rFonts w:eastAsia="TimesNewRoman" w:cs="Times New Roman"/>
                <w:sz w:val="24"/>
                <w:szCs w:val="24"/>
              </w:rPr>
              <w:t xml:space="preserve"> </w:t>
            </w:r>
            <w:r w:rsidR="00645EC4" w:rsidRPr="008B47CC">
              <w:rPr>
                <w:rFonts w:eastAsia="TimesNewRoman" w:cs="Times New Roman"/>
                <w:sz w:val="24"/>
                <w:szCs w:val="24"/>
              </w:rPr>
              <w:t>make an order expelling a member (other than the petitioner) from membership of</w:t>
            </w:r>
            <w:r w:rsidR="00645EC4" w:rsidRPr="008B47CC">
              <w:rPr>
                <w:rFonts w:eastAsia="TimesNewRoman" w:cs="Times New Roman"/>
                <w:szCs w:val="24"/>
              </w:rPr>
              <w:t xml:space="preserve"> </w:t>
            </w:r>
            <w:r w:rsidR="00645EC4" w:rsidRPr="008B47CC">
              <w:rPr>
                <w:rFonts w:eastAsia="TimesNewRoman" w:cs="Times New Roman"/>
                <w:sz w:val="24"/>
                <w:szCs w:val="24"/>
              </w:rPr>
              <w:t>the company;</w:t>
            </w:r>
            <w:r w:rsidR="00FC5EF8">
              <w:rPr>
                <w:rStyle w:val="FootnoteReference"/>
                <w:rFonts w:eastAsia="TimesNewRoman" w:cs="Times New Roman"/>
                <w:sz w:val="24"/>
                <w:szCs w:val="24"/>
              </w:rPr>
              <w:t xml:space="preserve"> </w:t>
            </w:r>
            <w:r w:rsidR="00FC5EF8">
              <w:rPr>
                <w:rStyle w:val="FootnoteReference"/>
                <w:rFonts w:eastAsia="TimesNewRoman" w:cs="Times New Roman"/>
                <w:sz w:val="24"/>
                <w:szCs w:val="24"/>
              </w:rPr>
              <w:footnoteReference w:id="1"/>
            </w:r>
          </w:p>
          <w:p w:rsidR="008B47CC" w:rsidRPr="008B47CC" w:rsidRDefault="00645EC4" w:rsidP="00FC5EF8">
            <w:pPr>
              <w:autoSpaceDE w:val="0"/>
              <w:autoSpaceDN w:val="0"/>
              <w:adjustRightInd w:val="0"/>
              <w:ind w:left="0"/>
              <w:jc w:val="left"/>
              <w:rPr>
                <w:rFonts w:eastAsia="TimesNewRoman" w:cs="Times New Roman"/>
                <w:szCs w:val="24"/>
              </w:rPr>
            </w:pPr>
            <w:r w:rsidRPr="008B47CC">
              <w:rPr>
                <w:rFonts w:eastAsia="TimesNewRoman" w:cs="Times New Roman"/>
                <w:sz w:val="24"/>
                <w:szCs w:val="24"/>
              </w:rPr>
              <w:t xml:space="preserve">(f) </w:t>
            </w:r>
            <w:proofErr w:type="gramStart"/>
            <w:r w:rsidRPr="008B47CC">
              <w:rPr>
                <w:rFonts w:eastAsia="TimesNewRoman" w:cs="Times New Roman"/>
                <w:sz w:val="24"/>
                <w:szCs w:val="24"/>
              </w:rPr>
              <w:t>the</w:t>
            </w:r>
            <w:proofErr w:type="gramEnd"/>
            <w:r w:rsidRPr="008B47CC">
              <w:rPr>
                <w:rFonts w:eastAsia="TimesNewRoman" w:cs="Times New Roman"/>
                <w:sz w:val="24"/>
                <w:szCs w:val="24"/>
              </w:rPr>
              <w:t xml:space="preserve"> court is of opinion that it is just and equitable that the company should be wound</w:t>
            </w:r>
            <w:r w:rsidRPr="008B47CC">
              <w:rPr>
                <w:rFonts w:eastAsia="TimesNewRoman" w:cs="Times New Roman"/>
                <w:szCs w:val="24"/>
              </w:rPr>
              <w:t xml:space="preserve"> </w:t>
            </w:r>
            <w:r w:rsidRPr="008B47CC">
              <w:rPr>
                <w:rFonts w:eastAsia="TimesNewRoman" w:cs="Times New Roman"/>
                <w:sz w:val="24"/>
                <w:szCs w:val="24"/>
              </w:rPr>
              <w:t>up.</w:t>
            </w:r>
          </w:p>
        </w:tc>
      </w:tr>
    </w:tbl>
    <w:p w:rsidR="00845FC6" w:rsidRDefault="00845FC6">
      <w:pPr>
        <w:contextualSpacing/>
      </w:pPr>
    </w:p>
    <w:p w:rsidR="008B47CC" w:rsidRDefault="008B47CC">
      <w:pPr>
        <w:contextualSpacing/>
      </w:pPr>
      <w:r>
        <w:t>To these the Insolvency Act has added another three:</w:t>
      </w:r>
    </w:p>
    <w:p w:rsidR="00553887" w:rsidRDefault="00553887">
      <w:pPr>
        <w:contextualSpacing/>
      </w:pPr>
    </w:p>
    <w:tbl>
      <w:tblPr>
        <w:tblStyle w:val="TableGrid"/>
        <w:tblW w:w="0" w:type="auto"/>
        <w:tblInd w:w="817" w:type="dxa"/>
        <w:shd w:val="clear" w:color="auto" w:fill="D9D9D9" w:themeFill="background1" w:themeFillShade="D9"/>
        <w:tblLook w:val="04A0"/>
      </w:tblPr>
      <w:tblGrid>
        <w:gridCol w:w="8363"/>
      </w:tblGrid>
      <w:tr w:rsidR="00553887" w:rsidRPr="00553887" w:rsidTr="00553887">
        <w:tc>
          <w:tcPr>
            <w:tcW w:w="8363" w:type="dxa"/>
            <w:shd w:val="clear" w:color="auto" w:fill="D9D9D9" w:themeFill="background1" w:themeFillShade="D9"/>
          </w:tcPr>
          <w:p w:rsidR="00553887" w:rsidRPr="00553887" w:rsidRDefault="00553887" w:rsidP="00553887">
            <w:pPr>
              <w:ind w:left="0"/>
              <w:contextualSpacing/>
              <w:jc w:val="center"/>
              <w:rPr>
                <w:b/>
              </w:rPr>
            </w:pPr>
            <w:r w:rsidRPr="00553887">
              <w:rPr>
                <w:b/>
              </w:rPr>
              <w:t>Insolvency Act 2013, Section 96</w:t>
            </w:r>
          </w:p>
        </w:tc>
      </w:tr>
      <w:tr w:rsidR="00553887" w:rsidRPr="00553887" w:rsidTr="00553887">
        <w:trPr>
          <w:trHeight w:val="2504"/>
        </w:trPr>
        <w:tc>
          <w:tcPr>
            <w:tcW w:w="8363" w:type="dxa"/>
            <w:tcBorders>
              <w:bottom w:val="single" w:sz="4" w:space="0" w:color="auto"/>
            </w:tcBorders>
            <w:shd w:val="clear" w:color="auto" w:fill="D9D9D9" w:themeFill="background1" w:themeFillShade="D9"/>
          </w:tcPr>
          <w:p w:rsidR="00553887" w:rsidRPr="00553887" w:rsidRDefault="00553887" w:rsidP="002B3478">
            <w:pPr>
              <w:ind w:left="0"/>
              <w:contextualSpacing/>
              <w:rPr>
                <w:sz w:val="24"/>
              </w:rPr>
            </w:pPr>
            <w:r w:rsidRPr="00553887">
              <w:rPr>
                <w:sz w:val="24"/>
              </w:rPr>
              <w:t>(e) the directors have acted in the affairs of the company in their own interests rather than in the interests of the shareholders as a whole, or in any other manner which is unfair or unjust to other shareholders;</w:t>
            </w:r>
          </w:p>
          <w:p w:rsidR="00553887" w:rsidRPr="00553887" w:rsidRDefault="00553887" w:rsidP="002B3478">
            <w:pPr>
              <w:ind w:left="0"/>
              <w:contextualSpacing/>
              <w:rPr>
                <w:sz w:val="24"/>
              </w:rPr>
            </w:pPr>
            <w:r w:rsidRPr="00553887">
              <w:rPr>
                <w:sz w:val="24"/>
              </w:rPr>
              <w:t>(f) the directors or managers of the company have acted to conceal the assets of the company or remove  the assets of the company outside the jurisdiction with intent to defeat the creditors;</w:t>
            </w:r>
          </w:p>
          <w:p w:rsidR="00553887" w:rsidRPr="00553887" w:rsidRDefault="00553887" w:rsidP="002B3478">
            <w:pPr>
              <w:ind w:left="0"/>
              <w:contextualSpacing/>
            </w:pPr>
            <w:r w:rsidRPr="00553887">
              <w:rPr>
                <w:sz w:val="24"/>
              </w:rPr>
              <w:t xml:space="preserve">(g) </w:t>
            </w:r>
            <w:proofErr w:type="gramStart"/>
            <w:r w:rsidRPr="00553887">
              <w:rPr>
                <w:sz w:val="24"/>
              </w:rPr>
              <w:t>the</w:t>
            </w:r>
            <w:proofErr w:type="gramEnd"/>
            <w:r w:rsidRPr="00553887">
              <w:rPr>
                <w:sz w:val="24"/>
              </w:rPr>
              <w:t xml:space="preserve"> period, if any, fixed for the duration of the company by its memorandum and articles has expired or the event, if any, on the occurrence of which  the memorandum  and articles provides that the company is to be dissolved, has occurred.</w:t>
            </w:r>
          </w:p>
        </w:tc>
      </w:tr>
    </w:tbl>
    <w:p w:rsidR="00553887" w:rsidRDefault="00553887" w:rsidP="00553887">
      <w:pPr>
        <w:contextualSpacing/>
      </w:pPr>
    </w:p>
    <w:p w:rsidR="008B47CC" w:rsidRDefault="00645EC4">
      <w:pPr>
        <w:contextualSpacing/>
      </w:pPr>
      <w:r>
        <w:t xml:space="preserve">With regard to the ground of inability to pay debts, both Acts make provision for certain deeming provisions in order to prove the ground. These are identical </w:t>
      </w:r>
      <w:r w:rsidR="00FC5EF8">
        <w:t xml:space="preserve">in both Acts </w:t>
      </w:r>
      <w:r>
        <w:t xml:space="preserve">and are to be found in sections 206 and 97 respectively. In the following instances a company is deemed to be unable to prove its debts and thus is liable to be wound up </w:t>
      </w:r>
      <w:proofErr w:type="spellStart"/>
      <w:r>
        <w:t>under ground</w:t>
      </w:r>
      <w:proofErr w:type="spellEnd"/>
      <w:r>
        <w:t xml:space="preserve"> (d):</w:t>
      </w:r>
    </w:p>
    <w:p w:rsidR="00645EC4" w:rsidRDefault="00645EC4" w:rsidP="00922A9A">
      <w:pPr>
        <w:pStyle w:val="ListParagraph"/>
        <w:numPr>
          <w:ilvl w:val="0"/>
          <w:numId w:val="10"/>
        </w:numPr>
      </w:pPr>
      <w:r>
        <w:t xml:space="preserve">A creditor has served a notice on the company requiring it to pay R1000 (under the Companies Act) or R10,000 (under the Insolvency Act) and the company has failed to pay the same for a period of </w:t>
      </w:r>
      <w:r w:rsidR="00922A9A">
        <w:t>three weeks</w:t>
      </w:r>
      <w:r w:rsidR="00AA2969">
        <w:rPr>
          <w:rStyle w:val="FootnoteReference"/>
        </w:rPr>
        <w:footnoteReference w:id="2"/>
      </w:r>
    </w:p>
    <w:p w:rsidR="00922A9A" w:rsidRDefault="00922A9A" w:rsidP="00922A9A">
      <w:pPr>
        <w:pStyle w:val="ListParagraph"/>
        <w:numPr>
          <w:ilvl w:val="0"/>
          <w:numId w:val="10"/>
        </w:numPr>
      </w:pPr>
      <w:r>
        <w:t>Execution of a judgment against the company has returned unsatisfied in whole or in part</w:t>
      </w:r>
    </w:p>
    <w:p w:rsidR="00922A9A" w:rsidRDefault="00922A9A" w:rsidP="00922A9A">
      <w:pPr>
        <w:pStyle w:val="ListParagraph"/>
        <w:numPr>
          <w:ilvl w:val="0"/>
          <w:numId w:val="10"/>
        </w:numPr>
      </w:pPr>
      <w:r>
        <w:t>The debts of the company exceed its immediately realisable assets.</w:t>
      </w:r>
    </w:p>
    <w:p w:rsidR="003474BC" w:rsidRDefault="003474BC">
      <w:pPr>
        <w:contextualSpacing/>
      </w:pPr>
      <w:r>
        <w:t>With regard to th</w:t>
      </w:r>
      <w:r w:rsidR="00AA2969">
        <w:t>e just and equitable ground, UK</w:t>
      </w:r>
      <w:r>
        <w:t xml:space="preserve"> courts have held the following to be included under the ground:</w:t>
      </w:r>
    </w:p>
    <w:p w:rsidR="00FC5EF8" w:rsidRDefault="00FC5EF8" w:rsidP="00FC5EF8">
      <w:pPr>
        <w:pStyle w:val="ListParagraph"/>
        <w:numPr>
          <w:ilvl w:val="0"/>
          <w:numId w:val="13"/>
        </w:numPr>
      </w:pPr>
      <w:r>
        <w:lastRenderedPageBreak/>
        <w:t>the loss of substratum</w:t>
      </w:r>
    </w:p>
    <w:p w:rsidR="00FC5EF8" w:rsidRDefault="00FC5EF8" w:rsidP="00FC5EF8">
      <w:pPr>
        <w:pStyle w:val="ListParagraph"/>
        <w:numPr>
          <w:ilvl w:val="0"/>
          <w:numId w:val="13"/>
        </w:numPr>
      </w:pPr>
      <w:r>
        <w:t>deadlock</w:t>
      </w:r>
    </w:p>
    <w:p w:rsidR="00FC5EF8" w:rsidRDefault="00FC5EF8" w:rsidP="00FC5EF8">
      <w:pPr>
        <w:pStyle w:val="ListParagraph"/>
        <w:numPr>
          <w:ilvl w:val="0"/>
          <w:numId w:val="13"/>
        </w:numPr>
      </w:pPr>
      <w:r>
        <w:t>oppression of minority shareholders</w:t>
      </w:r>
    </w:p>
    <w:p w:rsidR="003474BC" w:rsidRDefault="00FC5EF8" w:rsidP="00FC5EF8">
      <w:pPr>
        <w:pStyle w:val="ListParagraph"/>
        <w:numPr>
          <w:ilvl w:val="0"/>
          <w:numId w:val="13"/>
        </w:numPr>
      </w:pPr>
      <w:proofErr w:type="gramStart"/>
      <w:r>
        <w:t>companies</w:t>
      </w:r>
      <w:proofErr w:type="gramEnd"/>
      <w:r>
        <w:t xml:space="preserve"> acting as partnerships.</w:t>
      </w:r>
    </w:p>
    <w:p w:rsidR="00FC5EF8" w:rsidRPr="00AA2969" w:rsidRDefault="00AA2969" w:rsidP="00AA2969">
      <w:r>
        <w:t xml:space="preserve">The Seychelles courts have had occasion to consider the loss of substratum in two cases. </w:t>
      </w:r>
      <w:r w:rsidRPr="00AA2969">
        <w:t xml:space="preserve">In </w:t>
      </w:r>
      <w:proofErr w:type="spellStart"/>
      <w:r w:rsidRPr="00AA2969">
        <w:rPr>
          <w:i/>
        </w:rPr>
        <w:t>In</w:t>
      </w:r>
      <w:proofErr w:type="spellEnd"/>
      <w:r w:rsidRPr="00AA2969">
        <w:rPr>
          <w:i/>
        </w:rPr>
        <w:t xml:space="preserve"> re </w:t>
      </w:r>
      <w:proofErr w:type="spellStart"/>
      <w:r w:rsidRPr="00AA2969">
        <w:rPr>
          <w:i/>
        </w:rPr>
        <w:t>Societe</w:t>
      </w:r>
      <w:proofErr w:type="spellEnd"/>
      <w:r w:rsidRPr="00AA2969">
        <w:rPr>
          <w:i/>
        </w:rPr>
        <w:t xml:space="preserve"> </w:t>
      </w:r>
      <w:proofErr w:type="spellStart"/>
      <w:r w:rsidRPr="00AA2969">
        <w:rPr>
          <w:i/>
        </w:rPr>
        <w:t>d’Exploitation</w:t>
      </w:r>
      <w:proofErr w:type="spellEnd"/>
      <w:r w:rsidRPr="00AA2969">
        <w:rPr>
          <w:i/>
        </w:rPr>
        <w:t xml:space="preserve"> </w:t>
      </w:r>
      <w:proofErr w:type="spellStart"/>
      <w:r w:rsidRPr="00AA2969">
        <w:rPr>
          <w:i/>
        </w:rPr>
        <w:t>Hoteliere</w:t>
      </w:r>
      <w:proofErr w:type="spellEnd"/>
      <w:r w:rsidRPr="00AA2969">
        <w:rPr>
          <w:i/>
        </w:rPr>
        <w:t xml:space="preserve">, </w:t>
      </w:r>
      <w:proofErr w:type="spellStart"/>
      <w:r w:rsidRPr="00AA2969">
        <w:rPr>
          <w:i/>
        </w:rPr>
        <w:t>Touristique</w:t>
      </w:r>
      <w:proofErr w:type="spellEnd"/>
      <w:r w:rsidRPr="00AA2969">
        <w:rPr>
          <w:i/>
        </w:rPr>
        <w:t xml:space="preserve"> et </w:t>
      </w:r>
      <w:proofErr w:type="spellStart"/>
      <w:r w:rsidRPr="00AA2969">
        <w:rPr>
          <w:i/>
        </w:rPr>
        <w:t>Commerciale</w:t>
      </w:r>
      <w:proofErr w:type="spellEnd"/>
      <w:r w:rsidRPr="00AA2969">
        <w:rPr>
          <w:i/>
        </w:rPr>
        <w:t xml:space="preserve"> de </w:t>
      </w:r>
      <w:proofErr w:type="spellStart"/>
      <w:r w:rsidRPr="00AA2969">
        <w:rPr>
          <w:i/>
        </w:rPr>
        <w:t>l’Ocean</w:t>
      </w:r>
      <w:proofErr w:type="spellEnd"/>
      <w:r w:rsidRPr="00AA2969">
        <w:rPr>
          <w:i/>
        </w:rPr>
        <w:t xml:space="preserve"> </w:t>
      </w:r>
      <w:proofErr w:type="spellStart"/>
      <w:r w:rsidRPr="00AA2969">
        <w:rPr>
          <w:i/>
        </w:rPr>
        <w:t>Indien</w:t>
      </w:r>
      <w:proofErr w:type="spellEnd"/>
      <w:r w:rsidRPr="00AA2969">
        <w:rPr>
          <w:i/>
        </w:rPr>
        <w:t xml:space="preserve"> Ltd</w:t>
      </w:r>
      <w:r w:rsidRPr="00AA2969">
        <w:t xml:space="preserve"> [1984] SLR 129, the court r</w:t>
      </w:r>
      <w:r>
        <w:t xml:space="preserve">efused to order a winding up on the basis that there was a possibility that the company could undertake its objects later and asked the company to consider a voluntary liquidation. In </w:t>
      </w:r>
      <w:proofErr w:type="spellStart"/>
      <w:r>
        <w:rPr>
          <w:i/>
        </w:rPr>
        <w:t>In</w:t>
      </w:r>
      <w:proofErr w:type="spellEnd"/>
      <w:r>
        <w:rPr>
          <w:i/>
        </w:rPr>
        <w:t xml:space="preserve"> re </w:t>
      </w:r>
      <w:proofErr w:type="spellStart"/>
      <w:r>
        <w:rPr>
          <w:i/>
        </w:rPr>
        <w:t>Ailee</w:t>
      </w:r>
      <w:proofErr w:type="spellEnd"/>
      <w:r>
        <w:rPr>
          <w:i/>
        </w:rPr>
        <w:t xml:space="preserve"> Development Corporation</w:t>
      </w:r>
      <w:r>
        <w:t xml:space="preserve"> SCA 13/08, LC 344, the Court of Appeal </w:t>
      </w:r>
      <w:r w:rsidR="002B3478">
        <w:t xml:space="preserve">considered that the substratum had disappeared where the main object of the company had become impracticable, including where the conduct of the management had given rise to a justifiable lack of confidence in it. </w:t>
      </w:r>
    </w:p>
    <w:p w:rsidR="00922A9A" w:rsidRDefault="00FC5EF8" w:rsidP="00FC5EF8">
      <w:pPr>
        <w:pStyle w:val="Heading4"/>
      </w:pPr>
      <w:r>
        <w:t>8.1.1.2</w:t>
      </w:r>
      <w:r>
        <w:tab/>
      </w:r>
      <w:r>
        <w:tab/>
      </w:r>
      <w:r w:rsidR="00922A9A">
        <w:t>Who may Petition?</w:t>
      </w:r>
    </w:p>
    <w:p w:rsidR="00922A9A" w:rsidRDefault="00922A9A">
      <w:pPr>
        <w:contextualSpacing/>
      </w:pPr>
      <w:r>
        <w:t>Under the Companies Act the following persons may petition the court for the liquidation of a company:</w:t>
      </w:r>
    </w:p>
    <w:p w:rsidR="003474BC" w:rsidRDefault="003474BC">
      <w:pPr>
        <w:contextualSpacing/>
      </w:pPr>
    </w:p>
    <w:tbl>
      <w:tblPr>
        <w:tblStyle w:val="TableGrid"/>
        <w:tblW w:w="0" w:type="auto"/>
        <w:tblInd w:w="817" w:type="dxa"/>
        <w:shd w:val="clear" w:color="auto" w:fill="D9D9D9" w:themeFill="background1" w:themeFillShade="D9"/>
        <w:tblLook w:val="04A0"/>
      </w:tblPr>
      <w:tblGrid>
        <w:gridCol w:w="8363"/>
      </w:tblGrid>
      <w:tr w:rsidR="003474BC" w:rsidRPr="003474BC" w:rsidTr="003474BC">
        <w:tc>
          <w:tcPr>
            <w:tcW w:w="8363" w:type="dxa"/>
            <w:shd w:val="clear" w:color="auto" w:fill="D9D9D9" w:themeFill="background1" w:themeFillShade="D9"/>
          </w:tcPr>
          <w:p w:rsidR="003474BC" w:rsidRPr="003474BC" w:rsidRDefault="003474BC" w:rsidP="003474BC">
            <w:pPr>
              <w:autoSpaceDE w:val="0"/>
              <w:autoSpaceDN w:val="0"/>
              <w:adjustRightInd w:val="0"/>
              <w:ind w:left="0"/>
              <w:jc w:val="center"/>
              <w:rPr>
                <w:rFonts w:eastAsia="TimesNewRoman" w:cs="Times New Roman"/>
                <w:b/>
                <w:szCs w:val="24"/>
              </w:rPr>
            </w:pPr>
            <w:r w:rsidRPr="003474BC">
              <w:rPr>
                <w:rFonts w:eastAsia="TimesNewRoman" w:cs="Times New Roman"/>
                <w:b/>
                <w:sz w:val="24"/>
                <w:szCs w:val="24"/>
              </w:rPr>
              <w:t>Section 207</w:t>
            </w:r>
          </w:p>
        </w:tc>
      </w:tr>
      <w:tr w:rsidR="003474BC" w:rsidRPr="003474BC" w:rsidTr="003474BC">
        <w:trPr>
          <w:trHeight w:val="2278"/>
        </w:trPr>
        <w:tc>
          <w:tcPr>
            <w:tcW w:w="8363" w:type="dxa"/>
            <w:tcBorders>
              <w:bottom w:val="single" w:sz="4" w:space="0" w:color="auto"/>
            </w:tcBorders>
            <w:shd w:val="clear" w:color="auto" w:fill="D9D9D9" w:themeFill="background1" w:themeFillShade="D9"/>
          </w:tcPr>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(a) the company; or</w:t>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(b) any creditor or creditors (including any contingent or prospective creditor or</w:t>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creditors); or</w:t>
            </w:r>
            <w:r w:rsidRPr="003474BC">
              <w:rPr>
                <w:rFonts w:eastAsia="TimesNewRoman" w:cs="Times New Roman"/>
                <w:szCs w:val="24"/>
              </w:rPr>
              <w:tab/>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(c) any shareholder; or</w:t>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(d) any contributory; or</w:t>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(e) any debenture holder; or</w:t>
            </w:r>
          </w:p>
          <w:p w:rsidR="003474BC" w:rsidRPr="003474BC" w:rsidRDefault="003474BC" w:rsidP="002B3478">
            <w:pPr>
              <w:autoSpaceDE w:val="0"/>
              <w:autoSpaceDN w:val="0"/>
              <w:adjustRightInd w:val="0"/>
              <w:ind w:left="0"/>
              <w:jc w:val="left"/>
              <w:rPr>
                <w:rFonts w:eastAsia="TimesNewRoman" w:cs="Times New Roman"/>
                <w:sz w:val="24"/>
                <w:szCs w:val="24"/>
              </w:rPr>
            </w:pPr>
            <w:r w:rsidRPr="003474BC">
              <w:rPr>
                <w:rFonts w:eastAsia="TimesNewRoman" w:cs="Times New Roman"/>
                <w:sz w:val="24"/>
                <w:szCs w:val="24"/>
              </w:rPr>
              <w:t>(f) any persons belonging to two or more of the foregoing categories together; or</w:t>
            </w:r>
          </w:p>
          <w:p w:rsidR="003474BC" w:rsidRPr="003474BC" w:rsidRDefault="003474BC" w:rsidP="002B3478">
            <w:pPr>
              <w:autoSpaceDE w:val="0"/>
              <w:autoSpaceDN w:val="0"/>
              <w:adjustRightInd w:val="0"/>
              <w:ind w:left="0"/>
              <w:jc w:val="left"/>
              <w:rPr>
                <w:rFonts w:eastAsia="TimesNewRoman" w:cs="Times New Roman"/>
                <w:szCs w:val="24"/>
              </w:rPr>
            </w:pPr>
            <w:r w:rsidRPr="003474BC">
              <w:rPr>
                <w:rFonts w:eastAsia="TimesNewRoman" w:cs="Times New Roman"/>
                <w:sz w:val="24"/>
                <w:szCs w:val="24"/>
              </w:rPr>
              <w:t xml:space="preserve">(g) </w:t>
            </w:r>
            <w:proofErr w:type="gramStart"/>
            <w:r w:rsidRPr="003474BC">
              <w:rPr>
                <w:rFonts w:eastAsia="TimesNewRoman" w:cs="Times New Roman"/>
                <w:sz w:val="24"/>
                <w:szCs w:val="24"/>
              </w:rPr>
              <w:t>the</w:t>
            </w:r>
            <w:proofErr w:type="gramEnd"/>
            <w:r w:rsidRPr="003474BC">
              <w:rPr>
                <w:rFonts w:eastAsia="TimesNewRoman" w:cs="Times New Roman"/>
                <w:sz w:val="24"/>
                <w:szCs w:val="24"/>
              </w:rPr>
              <w:t xml:space="preserve"> Registrar under section 190(3)</w:t>
            </w:r>
            <w:r w:rsidR="00FC5EF8">
              <w:rPr>
                <w:rFonts w:eastAsia="TimesNewRoman" w:cs="Times New Roman"/>
                <w:sz w:val="24"/>
                <w:szCs w:val="24"/>
              </w:rPr>
              <w:t>.</w:t>
            </w:r>
          </w:p>
        </w:tc>
      </w:tr>
    </w:tbl>
    <w:p w:rsidR="00094125" w:rsidRDefault="00094125">
      <w:pPr>
        <w:contextualSpacing/>
      </w:pPr>
      <w:r>
        <w:t xml:space="preserve"> </w:t>
      </w:r>
    </w:p>
    <w:p w:rsidR="00922A9A" w:rsidRDefault="00094125">
      <w:pPr>
        <w:contextualSpacing/>
      </w:pPr>
      <w:r>
        <w:t>The Insolvency Act (section 98) has added two further possible petitioners:</w:t>
      </w:r>
    </w:p>
    <w:p w:rsidR="00105480" w:rsidRDefault="00105480" w:rsidP="00105480">
      <w:pPr>
        <w:ind w:left="1077"/>
        <w:contextualSpacing/>
      </w:pPr>
    </w:p>
    <w:p w:rsidR="00094125" w:rsidRDefault="00094125" w:rsidP="00105480">
      <w:pPr>
        <w:ind w:left="1077"/>
        <w:contextualSpacing/>
      </w:pPr>
      <w:r>
        <w:t>(f) A liquidator</w:t>
      </w:r>
    </w:p>
    <w:p w:rsidR="00094125" w:rsidRDefault="00094125" w:rsidP="00105480">
      <w:pPr>
        <w:ind w:left="1077"/>
        <w:contextualSpacing/>
      </w:pPr>
      <w:r>
        <w:t xml:space="preserve">(g) An administrator when the company is in reorganisation. </w:t>
      </w:r>
    </w:p>
    <w:p w:rsidR="00094125" w:rsidRDefault="00094125">
      <w:pPr>
        <w:contextualSpacing/>
      </w:pPr>
    </w:p>
    <w:p w:rsidR="00DB461E" w:rsidRDefault="00DB461E">
      <w:pPr>
        <w:contextualSpacing/>
      </w:pPr>
      <w:r>
        <w:t>However, the vast majority of petitions are by creditors.</w:t>
      </w:r>
    </w:p>
    <w:p w:rsidR="00DB461E" w:rsidRDefault="00DB461E">
      <w:pPr>
        <w:contextualSpacing/>
      </w:pPr>
    </w:p>
    <w:p w:rsidR="00105480" w:rsidRDefault="00105480">
      <w:pPr>
        <w:contextualSpacing/>
      </w:pPr>
      <w:r>
        <w:t>A winding up petition is usually filed supported by affidavit of the facts and supporting documents. The petition is usually determined on affidavits, and not after a contested hearing, although there is no reason why in appropriate cases a hearing may not be conducted.</w:t>
      </w:r>
    </w:p>
    <w:p w:rsidR="00105480" w:rsidRDefault="00105480">
      <w:pPr>
        <w:contextualSpacing/>
      </w:pPr>
    </w:p>
    <w:p w:rsidR="00105480" w:rsidRDefault="00FC5EF8" w:rsidP="00FC5EF8">
      <w:pPr>
        <w:pStyle w:val="Heading4"/>
      </w:pPr>
      <w:r>
        <w:t>8.1.1.3</w:t>
      </w:r>
      <w:r>
        <w:tab/>
      </w:r>
      <w:r>
        <w:tab/>
      </w:r>
      <w:r w:rsidR="00105480">
        <w:t>Powers of Court</w:t>
      </w:r>
    </w:p>
    <w:p w:rsidR="00105480" w:rsidRDefault="00105480">
      <w:pPr>
        <w:contextualSpacing/>
      </w:pPr>
      <w:r>
        <w:t>The court has very wide powers under section 208 of th</w:t>
      </w:r>
      <w:r w:rsidR="00FC5EF8">
        <w:t>e Companies Act and 100 of the I</w:t>
      </w:r>
      <w:r>
        <w:t>nsolvency Act. These include:</w:t>
      </w:r>
    </w:p>
    <w:p w:rsidR="00105480" w:rsidRDefault="00105480" w:rsidP="00105480">
      <w:pPr>
        <w:pStyle w:val="ListParagraph"/>
        <w:numPr>
          <w:ilvl w:val="0"/>
          <w:numId w:val="12"/>
        </w:numPr>
      </w:pPr>
      <w:r>
        <w:t>Making a winding up order</w:t>
      </w:r>
    </w:p>
    <w:p w:rsidR="00105480" w:rsidRDefault="00105480" w:rsidP="00105480">
      <w:pPr>
        <w:pStyle w:val="ListParagraph"/>
        <w:numPr>
          <w:ilvl w:val="0"/>
          <w:numId w:val="12"/>
        </w:numPr>
      </w:pPr>
      <w:r>
        <w:t>Dismissing the petition</w:t>
      </w:r>
    </w:p>
    <w:p w:rsidR="00105480" w:rsidRDefault="00105480" w:rsidP="00105480">
      <w:pPr>
        <w:pStyle w:val="ListParagraph"/>
        <w:numPr>
          <w:ilvl w:val="0"/>
          <w:numId w:val="12"/>
        </w:numPr>
      </w:pPr>
      <w:r>
        <w:lastRenderedPageBreak/>
        <w:t>Adjourning the petition conditionally or unconditionally</w:t>
      </w:r>
    </w:p>
    <w:p w:rsidR="00105480" w:rsidRDefault="00105480" w:rsidP="00105480">
      <w:pPr>
        <w:pStyle w:val="ListParagraph"/>
        <w:numPr>
          <w:ilvl w:val="0"/>
          <w:numId w:val="12"/>
        </w:numPr>
      </w:pPr>
      <w:r>
        <w:t>Adjourning to enable reorganisation</w:t>
      </w:r>
    </w:p>
    <w:p w:rsidR="00105480" w:rsidRDefault="00105480" w:rsidP="00105480">
      <w:pPr>
        <w:pStyle w:val="ListParagraph"/>
        <w:numPr>
          <w:ilvl w:val="0"/>
          <w:numId w:val="12"/>
        </w:numPr>
      </w:pPr>
      <w:r>
        <w:t>Making any other order deemed fit.</w:t>
      </w:r>
    </w:p>
    <w:p w:rsidR="00105480" w:rsidRDefault="00105480">
      <w:pPr>
        <w:contextualSpacing/>
      </w:pPr>
      <w:r>
        <w:t xml:space="preserve">If the court makes a winding up order, the </w:t>
      </w:r>
      <w:r w:rsidR="00D25969">
        <w:t xml:space="preserve">procedure for winding up now starts. This is described below. </w:t>
      </w:r>
    </w:p>
    <w:p w:rsidR="002C4A8A" w:rsidRDefault="00FC5EF8" w:rsidP="00FC5EF8">
      <w:pPr>
        <w:pStyle w:val="Heading3"/>
      </w:pPr>
      <w:r>
        <w:t>8.2.2</w:t>
      </w:r>
      <w:r>
        <w:tab/>
      </w:r>
      <w:r w:rsidR="002C4A8A">
        <w:t>Voluntary Winding up</w:t>
      </w:r>
    </w:p>
    <w:p w:rsidR="00AD5EE7" w:rsidRDefault="00AD5EE7">
      <w:pPr>
        <w:contextualSpacing/>
      </w:pPr>
      <w:r>
        <w:t xml:space="preserve">There are two modes of voluntary winding up – by </w:t>
      </w:r>
      <w:r w:rsidRPr="00D25969">
        <w:rPr>
          <w:u w:val="single"/>
        </w:rPr>
        <w:t>members</w:t>
      </w:r>
      <w:r>
        <w:t xml:space="preserve">, or by </w:t>
      </w:r>
      <w:r w:rsidRPr="00D25969">
        <w:rPr>
          <w:u w:val="single"/>
        </w:rPr>
        <w:t>creditors</w:t>
      </w:r>
      <w:r>
        <w:t>.</w:t>
      </w:r>
    </w:p>
    <w:p w:rsidR="00D25969" w:rsidRDefault="00D25969">
      <w:pPr>
        <w:contextualSpacing/>
      </w:pPr>
    </w:p>
    <w:tbl>
      <w:tblPr>
        <w:tblStyle w:val="TableGrid"/>
        <w:tblW w:w="0" w:type="auto"/>
        <w:tblInd w:w="817" w:type="dxa"/>
        <w:shd w:val="clear" w:color="auto" w:fill="D9D9D9" w:themeFill="background1" w:themeFillShade="D9"/>
        <w:tblLook w:val="04A0"/>
      </w:tblPr>
      <w:tblGrid>
        <w:gridCol w:w="8363"/>
      </w:tblGrid>
      <w:tr w:rsidR="00AD5EE7" w:rsidRPr="00AD5EE7" w:rsidTr="00AD5EE7">
        <w:tc>
          <w:tcPr>
            <w:tcW w:w="8363" w:type="dxa"/>
            <w:shd w:val="clear" w:color="auto" w:fill="D9D9D9" w:themeFill="background1" w:themeFillShade="D9"/>
          </w:tcPr>
          <w:p w:rsidR="00AD5EE7" w:rsidRPr="00AD5EE7" w:rsidRDefault="006566CA" w:rsidP="00AD5EE7">
            <w:pPr>
              <w:autoSpaceDE w:val="0"/>
              <w:autoSpaceDN w:val="0"/>
              <w:adjustRightInd w:val="0"/>
              <w:ind w:left="0"/>
              <w:jc w:val="center"/>
              <w:rPr>
                <w:rFonts w:eastAsia="TimesNewRoman" w:cs="Times New Roman"/>
                <w:b/>
                <w:szCs w:val="24"/>
              </w:rPr>
            </w:pPr>
            <w:r>
              <w:rPr>
                <w:rFonts w:eastAsia="TimesNewRoman" w:cs="Times New Roman"/>
                <w:b/>
                <w:sz w:val="24"/>
                <w:szCs w:val="24"/>
              </w:rPr>
              <w:t xml:space="preserve">Section </w:t>
            </w:r>
            <w:r w:rsidR="00AD5EE7" w:rsidRPr="00AD5EE7">
              <w:rPr>
                <w:rFonts w:eastAsia="TimesNewRoman" w:cs="Times New Roman"/>
                <w:b/>
                <w:sz w:val="24"/>
                <w:szCs w:val="24"/>
              </w:rPr>
              <w:t>247 (1)</w:t>
            </w:r>
          </w:p>
        </w:tc>
      </w:tr>
      <w:tr w:rsidR="00AD5EE7" w:rsidRPr="00AD5EE7" w:rsidTr="00AD5EE7">
        <w:trPr>
          <w:trHeight w:val="1134"/>
        </w:trPr>
        <w:tc>
          <w:tcPr>
            <w:tcW w:w="8363" w:type="dxa"/>
            <w:tcBorders>
              <w:bottom w:val="single" w:sz="4" w:space="0" w:color="auto"/>
            </w:tcBorders>
            <w:shd w:val="clear" w:color="auto" w:fill="D9D9D9" w:themeFill="background1" w:themeFillShade="D9"/>
          </w:tcPr>
          <w:p w:rsidR="00AD5EE7" w:rsidRPr="00AD5EE7" w:rsidRDefault="00AD5EE7" w:rsidP="002B3478">
            <w:pPr>
              <w:autoSpaceDE w:val="0"/>
              <w:autoSpaceDN w:val="0"/>
              <w:adjustRightInd w:val="0"/>
              <w:ind w:left="0"/>
              <w:jc w:val="left"/>
              <w:rPr>
                <w:rFonts w:eastAsia="TimesNewRoman" w:cs="Times New Roman"/>
                <w:sz w:val="24"/>
                <w:szCs w:val="24"/>
              </w:rPr>
            </w:pPr>
            <w:r w:rsidRPr="00AD5EE7">
              <w:rPr>
                <w:rFonts w:eastAsia="TimesNewRoman" w:cs="Times New Roman"/>
                <w:sz w:val="24"/>
                <w:szCs w:val="24"/>
              </w:rPr>
              <w:t>A company shall be wound up voluntarily if -</w:t>
            </w:r>
          </w:p>
          <w:p w:rsidR="00AD5EE7" w:rsidRPr="00AD5EE7" w:rsidRDefault="00AD5EE7" w:rsidP="002B3478">
            <w:pPr>
              <w:autoSpaceDE w:val="0"/>
              <w:autoSpaceDN w:val="0"/>
              <w:adjustRightInd w:val="0"/>
              <w:ind w:left="0"/>
              <w:jc w:val="left"/>
              <w:rPr>
                <w:rFonts w:eastAsia="TimesNewRoman" w:cs="Times New Roman"/>
                <w:sz w:val="24"/>
                <w:szCs w:val="24"/>
              </w:rPr>
            </w:pPr>
            <w:r w:rsidRPr="00AD5EE7">
              <w:rPr>
                <w:rFonts w:eastAsia="TimesNewRoman" w:cs="Times New Roman"/>
                <w:sz w:val="24"/>
                <w:szCs w:val="24"/>
              </w:rPr>
              <w:t>(a) a general meeting of the company so resolves by special resolution; or</w:t>
            </w:r>
          </w:p>
          <w:p w:rsidR="00AD5EE7" w:rsidRPr="00AD5EE7" w:rsidRDefault="00AD5EE7" w:rsidP="00AD5EE7">
            <w:pPr>
              <w:autoSpaceDE w:val="0"/>
              <w:autoSpaceDN w:val="0"/>
              <w:adjustRightInd w:val="0"/>
              <w:ind w:left="0"/>
              <w:jc w:val="left"/>
              <w:rPr>
                <w:rFonts w:eastAsia="TimesNewRoman" w:cs="Times New Roman"/>
                <w:szCs w:val="24"/>
              </w:rPr>
            </w:pPr>
            <w:r w:rsidRPr="00AD5EE7">
              <w:rPr>
                <w:rFonts w:eastAsia="TimesNewRoman" w:cs="Times New Roman"/>
                <w:sz w:val="24"/>
                <w:szCs w:val="24"/>
              </w:rPr>
              <w:t xml:space="preserve">(b) </w:t>
            </w:r>
            <w:proofErr w:type="gramStart"/>
            <w:r w:rsidRPr="00AD5EE7">
              <w:rPr>
                <w:rFonts w:eastAsia="TimesNewRoman" w:cs="Times New Roman"/>
                <w:sz w:val="24"/>
                <w:szCs w:val="24"/>
              </w:rPr>
              <w:t>a</w:t>
            </w:r>
            <w:proofErr w:type="gramEnd"/>
            <w:r w:rsidRPr="00AD5EE7">
              <w:rPr>
                <w:rFonts w:eastAsia="TimesNewRoman" w:cs="Times New Roman"/>
                <w:sz w:val="24"/>
                <w:szCs w:val="24"/>
              </w:rPr>
              <w:t xml:space="preserve"> general meeting of the company so resolves by an ordinary resolution which states</w:t>
            </w:r>
            <w:r>
              <w:rPr>
                <w:rFonts w:eastAsia="TimesNewRoman" w:cs="Times New Roman"/>
                <w:sz w:val="24"/>
                <w:szCs w:val="24"/>
              </w:rPr>
              <w:t xml:space="preserve"> </w:t>
            </w:r>
            <w:r w:rsidRPr="00AD5EE7">
              <w:rPr>
                <w:rFonts w:eastAsia="TimesNewRoman" w:cs="Times New Roman"/>
                <w:sz w:val="24"/>
                <w:szCs w:val="24"/>
              </w:rPr>
              <w:t>that the company is unable to pay its debts.</w:t>
            </w:r>
          </w:p>
        </w:tc>
      </w:tr>
    </w:tbl>
    <w:p w:rsidR="002C4A8A" w:rsidRDefault="002C4A8A" w:rsidP="00D94220">
      <w:pPr>
        <w:autoSpaceDE w:val="0"/>
        <w:autoSpaceDN w:val="0"/>
        <w:adjustRightInd w:val="0"/>
        <w:spacing w:before="0" w:after="0"/>
        <w:jc w:val="left"/>
        <w:rPr>
          <w:rFonts w:eastAsia="TimesNewRoman" w:cs="Times New Roman"/>
          <w:szCs w:val="24"/>
        </w:rPr>
      </w:pPr>
    </w:p>
    <w:p w:rsidR="00DB461E" w:rsidRDefault="00D94220" w:rsidP="00D94220">
      <w:pPr>
        <w:autoSpaceDE w:val="0"/>
        <w:autoSpaceDN w:val="0"/>
        <w:adjustRightInd w:val="0"/>
        <w:spacing w:before="0" w:after="0"/>
        <w:jc w:val="left"/>
        <w:rPr>
          <w:rFonts w:eastAsia="TimesNewRoman" w:cs="Times New Roman"/>
          <w:szCs w:val="24"/>
        </w:rPr>
      </w:pPr>
      <w:r>
        <w:rPr>
          <w:rFonts w:eastAsia="TimesNewRoman" w:cs="Times New Roman"/>
          <w:szCs w:val="24"/>
        </w:rPr>
        <w:t xml:space="preserve">The first provision above is a </w:t>
      </w:r>
      <w:r w:rsidRPr="00FC5EF8">
        <w:rPr>
          <w:rFonts w:eastAsia="TimesNewRoman" w:cs="Times New Roman"/>
          <w:szCs w:val="24"/>
          <w:u w:val="single"/>
        </w:rPr>
        <w:t xml:space="preserve">members </w:t>
      </w:r>
      <w:r w:rsidR="00FC5EF8">
        <w:rPr>
          <w:rFonts w:eastAsia="TimesNewRoman" w:cs="Times New Roman"/>
          <w:szCs w:val="24"/>
          <w:u w:val="single"/>
        </w:rPr>
        <w:t xml:space="preserve">voluntary </w:t>
      </w:r>
      <w:r w:rsidRPr="00FC5EF8">
        <w:rPr>
          <w:rFonts w:eastAsia="TimesNewRoman" w:cs="Times New Roman"/>
          <w:szCs w:val="24"/>
          <w:u w:val="single"/>
        </w:rPr>
        <w:t>winding u</w:t>
      </w:r>
      <w:r>
        <w:rPr>
          <w:rFonts w:eastAsia="TimesNewRoman" w:cs="Times New Roman"/>
          <w:szCs w:val="24"/>
        </w:rPr>
        <w:t xml:space="preserve">p, and is made when the company is solvent. The second is a </w:t>
      </w:r>
      <w:r w:rsidRPr="00FC5EF8">
        <w:rPr>
          <w:rFonts w:eastAsia="TimesNewRoman" w:cs="Times New Roman"/>
          <w:szCs w:val="24"/>
          <w:u w:val="single"/>
        </w:rPr>
        <w:t>creditors voluntary winding up</w:t>
      </w:r>
      <w:r>
        <w:rPr>
          <w:rFonts w:eastAsia="TimesNewRoman" w:cs="Times New Roman"/>
          <w:szCs w:val="24"/>
        </w:rPr>
        <w:t xml:space="preserve">, and is limited to cases where the company is insolvent. </w:t>
      </w:r>
      <w:r w:rsidR="00A142BF">
        <w:rPr>
          <w:rFonts w:eastAsia="TimesNewRoman" w:cs="Times New Roman"/>
          <w:szCs w:val="24"/>
        </w:rPr>
        <w:t>In a members winding up, the directors of the company must first</w:t>
      </w:r>
      <w:r w:rsidR="00EA0505">
        <w:rPr>
          <w:rFonts w:eastAsia="TimesNewRoman" w:cs="Times New Roman"/>
          <w:szCs w:val="24"/>
        </w:rPr>
        <w:t>, within 5 weeks of the passing of the resolution, make a written declaration of solvency to the effect that they have carried out an inspection of the affairs of the company and they have concluded that it is able to pay its debts: s 253 CA; s 151 IA.</w:t>
      </w:r>
      <w:r w:rsidR="00FC5EF8">
        <w:rPr>
          <w:rFonts w:eastAsia="TimesNewRoman" w:cs="Times New Roman"/>
          <w:szCs w:val="24"/>
        </w:rPr>
        <w:t xml:space="preserve"> </w:t>
      </w:r>
      <w:r w:rsidR="00DB461E">
        <w:rPr>
          <w:rFonts w:eastAsia="TimesNewRoman" w:cs="Times New Roman"/>
          <w:szCs w:val="24"/>
        </w:rPr>
        <w:t xml:space="preserve">This is not required for a </w:t>
      </w:r>
      <w:proofErr w:type="gramStart"/>
      <w:r w:rsidR="00DB461E">
        <w:rPr>
          <w:rFonts w:eastAsia="TimesNewRoman" w:cs="Times New Roman"/>
          <w:szCs w:val="24"/>
        </w:rPr>
        <w:t>creditors</w:t>
      </w:r>
      <w:proofErr w:type="gramEnd"/>
      <w:r w:rsidR="00DB461E">
        <w:rPr>
          <w:rFonts w:eastAsia="TimesNewRoman" w:cs="Times New Roman"/>
          <w:szCs w:val="24"/>
        </w:rPr>
        <w:t xml:space="preserve"> voluntary winding up. </w:t>
      </w:r>
    </w:p>
    <w:p w:rsidR="00DB461E" w:rsidRDefault="00DB461E" w:rsidP="00D94220">
      <w:pPr>
        <w:autoSpaceDE w:val="0"/>
        <w:autoSpaceDN w:val="0"/>
        <w:adjustRightInd w:val="0"/>
        <w:spacing w:before="0" w:after="0"/>
        <w:jc w:val="left"/>
        <w:rPr>
          <w:rFonts w:eastAsia="TimesNewRoman" w:cs="Times New Roman"/>
          <w:szCs w:val="24"/>
        </w:rPr>
      </w:pPr>
    </w:p>
    <w:p w:rsidR="00D94220" w:rsidRDefault="00D94220" w:rsidP="00D94220">
      <w:pPr>
        <w:autoSpaceDE w:val="0"/>
        <w:autoSpaceDN w:val="0"/>
        <w:adjustRightInd w:val="0"/>
        <w:spacing w:before="0" w:after="0"/>
        <w:jc w:val="left"/>
        <w:rPr>
          <w:rFonts w:eastAsia="TimesNewRoman" w:cs="Times New Roman"/>
          <w:szCs w:val="24"/>
        </w:rPr>
      </w:pPr>
      <w:r>
        <w:rPr>
          <w:rFonts w:eastAsia="TimesNewRoman" w:cs="Times New Roman"/>
          <w:szCs w:val="24"/>
        </w:rPr>
        <w:t>Any member or shareholder of the company can apply to the court within 14 days for the cancellation of the resolution voluntarily winding up a company.</w:t>
      </w:r>
    </w:p>
    <w:p w:rsidR="00D94220" w:rsidRDefault="00D94220" w:rsidP="00D94220">
      <w:pPr>
        <w:autoSpaceDE w:val="0"/>
        <w:autoSpaceDN w:val="0"/>
        <w:adjustRightInd w:val="0"/>
        <w:spacing w:before="0" w:after="0"/>
        <w:jc w:val="left"/>
        <w:rPr>
          <w:rFonts w:eastAsia="TimesNewRoman" w:cs="Times New Roman"/>
          <w:szCs w:val="24"/>
        </w:rPr>
      </w:pPr>
    </w:p>
    <w:p w:rsidR="00D94220" w:rsidRDefault="0078074E" w:rsidP="00D94220">
      <w:pPr>
        <w:autoSpaceDE w:val="0"/>
        <w:autoSpaceDN w:val="0"/>
        <w:adjustRightInd w:val="0"/>
        <w:spacing w:before="0" w:after="0"/>
        <w:jc w:val="left"/>
        <w:rPr>
          <w:rFonts w:eastAsia="TimesNewRoman" w:cs="Times New Roman"/>
          <w:szCs w:val="24"/>
        </w:rPr>
      </w:pPr>
      <w:r>
        <w:rPr>
          <w:rFonts w:eastAsia="TimesNewRoman" w:cs="Times New Roman"/>
          <w:szCs w:val="24"/>
        </w:rPr>
        <w:t xml:space="preserve">Once the resolution is passed, this must be advertised in the Gazette within 7 days </w:t>
      </w:r>
      <w:r w:rsidR="00DB461E">
        <w:rPr>
          <w:rFonts w:eastAsia="TimesNewRoman" w:cs="Times New Roman"/>
          <w:szCs w:val="24"/>
        </w:rPr>
        <w:t>(</w:t>
      </w:r>
      <w:r w:rsidR="00A142BF">
        <w:rPr>
          <w:rFonts w:eastAsia="TimesNewRoman" w:cs="Times New Roman"/>
          <w:szCs w:val="24"/>
        </w:rPr>
        <w:t xml:space="preserve">s 248) </w:t>
      </w:r>
      <w:r>
        <w:rPr>
          <w:rFonts w:eastAsia="TimesNewRoman" w:cs="Times New Roman"/>
          <w:szCs w:val="24"/>
        </w:rPr>
        <w:t>and, within the same period, notified to the Registrar of Companies</w:t>
      </w:r>
      <w:r w:rsidR="00A142BF">
        <w:rPr>
          <w:rFonts w:eastAsia="TimesNewRoman" w:cs="Times New Roman"/>
          <w:szCs w:val="24"/>
        </w:rPr>
        <w:t xml:space="preserve"> (s 249)</w:t>
      </w:r>
      <w:r>
        <w:rPr>
          <w:rFonts w:eastAsia="TimesNewRoman" w:cs="Times New Roman"/>
          <w:szCs w:val="24"/>
        </w:rPr>
        <w:t xml:space="preserve">. </w:t>
      </w:r>
    </w:p>
    <w:p w:rsidR="0078074E" w:rsidRDefault="0078074E" w:rsidP="00D94220">
      <w:pPr>
        <w:autoSpaceDE w:val="0"/>
        <w:autoSpaceDN w:val="0"/>
        <w:adjustRightInd w:val="0"/>
        <w:spacing w:before="0" w:after="0"/>
        <w:jc w:val="left"/>
        <w:rPr>
          <w:rFonts w:eastAsia="TimesNewRoman" w:cs="Times New Roman"/>
          <w:szCs w:val="24"/>
        </w:rPr>
      </w:pPr>
    </w:p>
    <w:p w:rsidR="0078074E" w:rsidRDefault="0078074E" w:rsidP="00D94220">
      <w:pPr>
        <w:autoSpaceDE w:val="0"/>
        <w:autoSpaceDN w:val="0"/>
        <w:adjustRightInd w:val="0"/>
        <w:spacing w:before="0" w:after="0"/>
        <w:jc w:val="left"/>
        <w:rPr>
          <w:rFonts w:eastAsia="TimesNewRoman" w:cs="Times New Roman"/>
          <w:szCs w:val="24"/>
        </w:rPr>
      </w:pPr>
      <w:r>
        <w:rPr>
          <w:rFonts w:eastAsia="TimesNewRoman" w:cs="Times New Roman"/>
          <w:szCs w:val="24"/>
        </w:rPr>
        <w:t>The company must then cease to carry on business, except in connection with the winding up: s 251</w:t>
      </w:r>
      <w:r w:rsidR="00A142BF">
        <w:rPr>
          <w:rFonts w:eastAsia="TimesNewRoman" w:cs="Times New Roman"/>
          <w:szCs w:val="24"/>
        </w:rPr>
        <w:t xml:space="preserve">. </w:t>
      </w:r>
      <w:r w:rsidR="00EA0505">
        <w:rPr>
          <w:rFonts w:eastAsia="TimesNewRoman" w:cs="Times New Roman"/>
          <w:szCs w:val="24"/>
        </w:rPr>
        <w:t>It will appoint a liquidator in a general meeting: s 255 CA; s 152 IA and the liquidator will proceed with the winding up of the company.</w:t>
      </w:r>
    </w:p>
    <w:p w:rsidR="00EA0505" w:rsidRDefault="00EA0505" w:rsidP="00D94220">
      <w:pPr>
        <w:autoSpaceDE w:val="0"/>
        <w:autoSpaceDN w:val="0"/>
        <w:adjustRightInd w:val="0"/>
        <w:spacing w:before="0" w:after="0"/>
        <w:jc w:val="left"/>
        <w:rPr>
          <w:rFonts w:eastAsia="TimesNewRoman" w:cs="Times New Roman"/>
          <w:szCs w:val="24"/>
        </w:rPr>
      </w:pPr>
    </w:p>
    <w:p w:rsidR="00EA0505" w:rsidRDefault="00EA0505" w:rsidP="00D94220">
      <w:pPr>
        <w:autoSpaceDE w:val="0"/>
        <w:autoSpaceDN w:val="0"/>
        <w:adjustRightInd w:val="0"/>
        <w:spacing w:before="0" w:after="0"/>
        <w:jc w:val="left"/>
        <w:rPr>
          <w:rFonts w:eastAsia="TimesNewRoman" w:cs="Times New Roman"/>
          <w:szCs w:val="24"/>
        </w:rPr>
      </w:pPr>
      <w:r>
        <w:rPr>
          <w:rFonts w:eastAsia="TimesNewRoman" w:cs="Times New Roman"/>
          <w:szCs w:val="24"/>
        </w:rPr>
        <w:t xml:space="preserve">The members winding up can, at any time that the liquidator concludes that </w:t>
      </w:r>
      <w:r w:rsidR="00DB461E">
        <w:rPr>
          <w:rFonts w:eastAsia="TimesNewRoman" w:cs="Times New Roman"/>
          <w:szCs w:val="24"/>
        </w:rPr>
        <w:t xml:space="preserve">the company is unable to fully pay its debts, be converted into a </w:t>
      </w:r>
      <w:proofErr w:type="gramStart"/>
      <w:r w:rsidR="00DB461E">
        <w:rPr>
          <w:rFonts w:eastAsia="TimesNewRoman" w:cs="Times New Roman"/>
          <w:szCs w:val="24"/>
        </w:rPr>
        <w:t>creditors</w:t>
      </w:r>
      <w:proofErr w:type="gramEnd"/>
      <w:r w:rsidR="00DB461E">
        <w:rPr>
          <w:rFonts w:eastAsia="TimesNewRoman" w:cs="Times New Roman"/>
          <w:szCs w:val="24"/>
        </w:rPr>
        <w:t xml:space="preserve"> voluntary winding up: s 257 CA; s 154 IA.</w:t>
      </w:r>
    </w:p>
    <w:p w:rsidR="00DB461E" w:rsidRDefault="00DB461E" w:rsidP="00D94220">
      <w:pPr>
        <w:autoSpaceDE w:val="0"/>
        <w:autoSpaceDN w:val="0"/>
        <w:adjustRightInd w:val="0"/>
        <w:spacing w:before="0" w:after="0"/>
        <w:jc w:val="left"/>
        <w:rPr>
          <w:rFonts w:eastAsia="TimesNewRoman" w:cs="Times New Roman"/>
          <w:szCs w:val="24"/>
        </w:rPr>
      </w:pPr>
    </w:p>
    <w:p w:rsidR="00DB461E" w:rsidRDefault="00FC5EF8" w:rsidP="00FC5EF8">
      <w:pPr>
        <w:pStyle w:val="Heading2"/>
        <w:rPr>
          <w:rFonts w:eastAsia="TimesNewRoman"/>
        </w:rPr>
      </w:pPr>
      <w:r>
        <w:rPr>
          <w:rFonts w:eastAsia="TimesNewRoman"/>
        </w:rPr>
        <w:t>8.3</w:t>
      </w:r>
      <w:r>
        <w:rPr>
          <w:rFonts w:eastAsia="TimesNewRoman"/>
        </w:rPr>
        <w:tab/>
      </w:r>
      <w:r w:rsidR="00DB461E">
        <w:rPr>
          <w:rFonts w:eastAsia="TimesNewRoman"/>
        </w:rPr>
        <w:t>Liquidators</w:t>
      </w:r>
    </w:p>
    <w:p w:rsidR="00DB461E" w:rsidRDefault="00DB461E" w:rsidP="00D94220">
      <w:pPr>
        <w:autoSpaceDE w:val="0"/>
        <w:autoSpaceDN w:val="0"/>
        <w:adjustRightInd w:val="0"/>
        <w:spacing w:before="0" w:after="0"/>
        <w:jc w:val="left"/>
        <w:rPr>
          <w:rFonts w:eastAsia="TimesNewRoman" w:cs="Times New Roman"/>
          <w:szCs w:val="24"/>
        </w:rPr>
      </w:pPr>
    </w:p>
    <w:p w:rsidR="002B3478" w:rsidRDefault="00DB461E" w:rsidP="0079745C">
      <w:pPr>
        <w:autoSpaceDE w:val="0"/>
        <w:autoSpaceDN w:val="0"/>
        <w:adjustRightInd w:val="0"/>
        <w:spacing w:before="0" w:after="0"/>
        <w:rPr>
          <w:rFonts w:eastAsia="TimesNewRoman" w:cs="Times New Roman"/>
          <w:szCs w:val="24"/>
        </w:rPr>
      </w:pPr>
      <w:r>
        <w:rPr>
          <w:rFonts w:eastAsia="TimesNewRoman" w:cs="Times New Roman"/>
          <w:szCs w:val="24"/>
        </w:rPr>
        <w:t xml:space="preserve">In a court winding up a </w:t>
      </w:r>
      <w:r w:rsidRPr="00FC5EF8">
        <w:rPr>
          <w:rFonts w:eastAsia="TimesNewRoman" w:cs="Times New Roman"/>
          <w:szCs w:val="24"/>
          <w:u w:val="single"/>
        </w:rPr>
        <w:t>provisional liquidator</w:t>
      </w:r>
      <w:r>
        <w:rPr>
          <w:rFonts w:eastAsia="TimesNewRoman" w:cs="Times New Roman"/>
          <w:szCs w:val="24"/>
        </w:rPr>
        <w:t xml:space="preserve"> can be appointed even before the </w:t>
      </w:r>
      <w:r w:rsidRPr="0079745C">
        <w:rPr>
          <w:rFonts w:eastAsia="TimesNewRoman" w:cs="Times New Roman"/>
          <w:szCs w:val="24"/>
        </w:rPr>
        <w:t>winding up order is made</w:t>
      </w:r>
      <w:r w:rsidR="0078435E" w:rsidRPr="0079745C">
        <w:rPr>
          <w:rFonts w:eastAsia="TimesNewRoman" w:cs="Times New Roman"/>
          <w:szCs w:val="24"/>
        </w:rPr>
        <w:t>: s 211 CA; s 112 IA</w:t>
      </w:r>
      <w:r w:rsidRPr="0079745C">
        <w:rPr>
          <w:rFonts w:eastAsia="TimesNewRoman" w:cs="Times New Roman"/>
          <w:szCs w:val="24"/>
        </w:rPr>
        <w:t xml:space="preserve">. </w:t>
      </w:r>
      <w:r w:rsidR="0078435E" w:rsidRPr="0079745C">
        <w:rPr>
          <w:rFonts w:eastAsia="TimesNewRoman" w:cs="Times New Roman"/>
          <w:szCs w:val="24"/>
        </w:rPr>
        <w:t>This will usually be when the</w:t>
      </w:r>
      <w:r w:rsidR="0078435E">
        <w:rPr>
          <w:rFonts w:eastAsia="TimesNewRoman" w:cs="Times New Roman"/>
          <w:szCs w:val="24"/>
        </w:rPr>
        <w:t xml:space="preserve"> company is in deep financial trouble and the outcome of the hearing of the winding up petition cannot be awaited. The court has power to restrict the powers of the provisional liquidator as is required by the exigencies of the matter.</w:t>
      </w:r>
      <w:r w:rsidR="002B3478">
        <w:rPr>
          <w:rFonts w:eastAsia="TimesNewRoman" w:cs="Times New Roman"/>
          <w:szCs w:val="24"/>
        </w:rPr>
        <w:t xml:space="preserve"> </w:t>
      </w:r>
    </w:p>
    <w:p w:rsidR="002B3478" w:rsidRDefault="002B3478" w:rsidP="0079745C">
      <w:pPr>
        <w:autoSpaceDE w:val="0"/>
        <w:autoSpaceDN w:val="0"/>
        <w:adjustRightInd w:val="0"/>
        <w:spacing w:before="0" w:after="0"/>
        <w:rPr>
          <w:rFonts w:eastAsia="TimesNewRoman" w:cs="Times New Roman"/>
          <w:szCs w:val="24"/>
        </w:rPr>
      </w:pPr>
    </w:p>
    <w:p w:rsidR="00DB461E" w:rsidRPr="002B3478" w:rsidRDefault="002B3478" w:rsidP="0079745C">
      <w:pPr>
        <w:autoSpaceDE w:val="0"/>
        <w:autoSpaceDN w:val="0"/>
        <w:adjustRightInd w:val="0"/>
        <w:spacing w:before="0" w:after="0"/>
        <w:rPr>
          <w:rFonts w:eastAsia="TimesNewRoman" w:cs="Times New Roman"/>
          <w:szCs w:val="24"/>
        </w:rPr>
      </w:pPr>
      <w:r>
        <w:rPr>
          <w:rFonts w:eastAsia="TimesNewRoman" w:cs="Times New Roman"/>
          <w:szCs w:val="24"/>
        </w:rPr>
        <w:t>Where the court had given the provisional liquidator extensive powers to bring in the assets of the company in liquidation, the court held that these include</w:t>
      </w:r>
      <w:r w:rsidR="002111DD">
        <w:rPr>
          <w:rFonts w:eastAsia="TimesNewRoman" w:cs="Times New Roman"/>
          <w:szCs w:val="24"/>
        </w:rPr>
        <w:t>d</w:t>
      </w:r>
      <w:r>
        <w:rPr>
          <w:rFonts w:eastAsia="TimesNewRoman" w:cs="Times New Roman"/>
          <w:szCs w:val="24"/>
        </w:rPr>
        <w:t xml:space="preserve"> the power to </w:t>
      </w:r>
      <w:r>
        <w:rPr>
          <w:rFonts w:eastAsia="TimesNewRoman" w:cs="Times New Roman"/>
          <w:szCs w:val="24"/>
        </w:rPr>
        <w:lastRenderedPageBreak/>
        <w:t xml:space="preserve">institute proceedings without court authority: </w:t>
      </w:r>
      <w:r>
        <w:rPr>
          <w:rFonts w:eastAsia="TimesNewRoman" w:cs="Times New Roman"/>
          <w:i/>
          <w:szCs w:val="24"/>
        </w:rPr>
        <w:t xml:space="preserve">Michel (Provisional Liquidator </w:t>
      </w:r>
      <w:proofErr w:type="spellStart"/>
      <w:r>
        <w:rPr>
          <w:rFonts w:eastAsia="TimesNewRoman" w:cs="Times New Roman"/>
          <w:i/>
          <w:szCs w:val="24"/>
        </w:rPr>
        <w:t>Awilsel</w:t>
      </w:r>
      <w:proofErr w:type="spellEnd"/>
      <w:r>
        <w:rPr>
          <w:rFonts w:eastAsia="TimesNewRoman" w:cs="Times New Roman"/>
          <w:i/>
          <w:szCs w:val="24"/>
        </w:rPr>
        <w:t xml:space="preserve"> Ltd) v Anglo Welsh Investment Limited </w:t>
      </w:r>
      <w:r>
        <w:rPr>
          <w:rFonts w:eastAsia="TimesNewRoman" w:cs="Times New Roman"/>
          <w:szCs w:val="24"/>
        </w:rPr>
        <w:t>[1979] SLR 77.</w:t>
      </w:r>
    </w:p>
    <w:p w:rsidR="0078435E" w:rsidRDefault="0078435E" w:rsidP="0079745C">
      <w:pPr>
        <w:autoSpaceDE w:val="0"/>
        <w:autoSpaceDN w:val="0"/>
        <w:adjustRightInd w:val="0"/>
        <w:spacing w:before="0" w:after="0"/>
        <w:rPr>
          <w:rFonts w:eastAsia="TimesNewRoman" w:cs="Times New Roman"/>
          <w:szCs w:val="24"/>
        </w:rPr>
      </w:pPr>
    </w:p>
    <w:p w:rsidR="0078435E" w:rsidRDefault="0078435E" w:rsidP="0079745C">
      <w:pPr>
        <w:autoSpaceDE w:val="0"/>
        <w:autoSpaceDN w:val="0"/>
        <w:adjustRightInd w:val="0"/>
        <w:spacing w:before="0" w:after="0"/>
        <w:rPr>
          <w:rFonts w:eastAsia="TimesNewRoman" w:cs="Times New Roman"/>
          <w:szCs w:val="24"/>
        </w:rPr>
      </w:pPr>
      <w:r>
        <w:rPr>
          <w:rFonts w:eastAsia="TimesNewRoman" w:cs="Times New Roman"/>
          <w:szCs w:val="24"/>
        </w:rPr>
        <w:t xml:space="preserve">After a winding up order is made, the court can appoint a liquidator to wind up the affairs of the company. This may be a person chosen by the court or the Official Receiver. </w:t>
      </w:r>
      <w:r w:rsidR="00F67511">
        <w:rPr>
          <w:rFonts w:eastAsia="TimesNewRoman" w:cs="Times New Roman"/>
          <w:szCs w:val="24"/>
        </w:rPr>
        <w:t xml:space="preserve">A body corporate cannot be a liquidator: s CA; s 167 IA. </w:t>
      </w:r>
      <w:r>
        <w:rPr>
          <w:rFonts w:eastAsia="TimesNewRoman" w:cs="Times New Roman"/>
          <w:szCs w:val="24"/>
        </w:rPr>
        <w:t xml:space="preserve">If a provisional liquidator has been appointed, it is usual for that person to become the liquidator: s 217 CA; s 113 IA. </w:t>
      </w:r>
    </w:p>
    <w:p w:rsidR="0078435E" w:rsidRDefault="0078435E" w:rsidP="0079745C">
      <w:pPr>
        <w:autoSpaceDE w:val="0"/>
        <w:autoSpaceDN w:val="0"/>
        <w:adjustRightInd w:val="0"/>
        <w:spacing w:before="0" w:after="0"/>
        <w:rPr>
          <w:rFonts w:eastAsia="TimesNewRoman" w:cs="Times New Roman"/>
          <w:szCs w:val="24"/>
        </w:rPr>
      </w:pPr>
    </w:p>
    <w:p w:rsidR="0078435E" w:rsidRDefault="0078435E" w:rsidP="0079745C">
      <w:pPr>
        <w:autoSpaceDE w:val="0"/>
        <w:autoSpaceDN w:val="0"/>
        <w:adjustRightInd w:val="0"/>
        <w:spacing w:before="0" w:after="0"/>
        <w:rPr>
          <w:rFonts w:eastAsia="TimesNewRoman" w:cs="Times New Roman"/>
          <w:szCs w:val="24"/>
        </w:rPr>
      </w:pPr>
      <w:r>
        <w:rPr>
          <w:rFonts w:eastAsia="TimesNewRoman" w:cs="Times New Roman"/>
          <w:szCs w:val="24"/>
        </w:rPr>
        <w:t xml:space="preserve">The powers of the liquidator </w:t>
      </w:r>
      <w:r w:rsidR="0079745C">
        <w:rPr>
          <w:rFonts w:eastAsia="TimesNewRoman" w:cs="Times New Roman"/>
          <w:szCs w:val="24"/>
        </w:rPr>
        <w:t xml:space="preserve">appointed by the court </w:t>
      </w:r>
      <w:r>
        <w:rPr>
          <w:rFonts w:eastAsia="TimesNewRoman" w:cs="Times New Roman"/>
          <w:szCs w:val="24"/>
        </w:rPr>
        <w:t>are extensive. They are divided into two categories</w:t>
      </w:r>
      <w:r w:rsidR="0079745C">
        <w:rPr>
          <w:rFonts w:eastAsia="TimesNewRoman" w:cs="Times New Roman"/>
          <w:szCs w:val="24"/>
        </w:rPr>
        <w:t xml:space="preserve"> – power to be exercised subject to the sanction of the court (or the committee of inspection) and power to be exercised without sanction of the court</w:t>
      </w:r>
      <w:r>
        <w:rPr>
          <w:rFonts w:eastAsia="TimesNewRoman" w:cs="Times New Roman"/>
          <w:szCs w:val="24"/>
        </w:rPr>
        <w:t xml:space="preserve">. </w:t>
      </w:r>
    </w:p>
    <w:p w:rsidR="0079745C" w:rsidRPr="00FC5EF8" w:rsidRDefault="00FC5EF8" w:rsidP="00FC5EF8">
      <w:pPr>
        <w:pStyle w:val="Heading3"/>
        <w:rPr>
          <w:rFonts w:eastAsia="TimesNewRoman"/>
        </w:rPr>
      </w:pPr>
      <w:r>
        <w:rPr>
          <w:rFonts w:eastAsia="TimesNewRoman"/>
        </w:rPr>
        <w:t>8.3.1</w:t>
      </w:r>
      <w:r>
        <w:rPr>
          <w:rFonts w:eastAsia="TimesNewRoman"/>
        </w:rPr>
        <w:tab/>
      </w:r>
      <w:r w:rsidR="0079745C" w:rsidRPr="00FC5EF8">
        <w:rPr>
          <w:rFonts w:eastAsia="TimesNewRoman"/>
        </w:rPr>
        <w:t>Powers subject to court sanction (s 222 (1) CA; s 119 (1) IA):</w:t>
      </w:r>
    </w:p>
    <w:p w:rsidR="005A7537" w:rsidRDefault="005A7537" w:rsidP="00D94220">
      <w:pPr>
        <w:autoSpaceDE w:val="0"/>
        <w:autoSpaceDN w:val="0"/>
        <w:adjustRightInd w:val="0"/>
        <w:spacing w:before="0" w:after="0"/>
        <w:jc w:val="left"/>
        <w:rPr>
          <w:rFonts w:eastAsia="TimesNewRoman" w:cs="Times New Roman"/>
          <w:szCs w:val="24"/>
        </w:rPr>
      </w:pPr>
    </w:p>
    <w:tbl>
      <w:tblPr>
        <w:tblStyle w:val="TableGrid"/>
        <w:tblW w:w="0" w:type="auto"/>
        <w:tblInd w:w="817" w:type="dxa"/>
        <w:shd w:val="clear" w:color="auto" w:fill="D9D9D9" w:themeFill="background1" w:themeFillShade="D9"/>
        <w:tblLook w:val="04A0"/>
      </w:tblPr>
      <w:tblGrid>
        <w:gridCol w:w="8363"/>
      </w:tblGrid>
      <w:tr w:rsidR="0079745C" w:rsidRPr="0079745C" w:rsidTr="0079745C">
        <w:tc>
          <w:tcPr>
            <w:tcW w:w="8363" w:type="dxa"/>
            <w:shd w:val="clear" w:color="auto" w:fill="D9D9D9" w:themeFill="background1" w:themeFillShade="D9"/>
          </w:tcPr>
          <w:p w:rsidR="0079745C" w:rsidRPr="0079745C" w:rsidRDefault="0079745C" w:rsidP="0079745C">
            <w:pPr>
              <w:autoSpaceDE w:val="0"/>
              <w:autoSpaceDN w:val="0"/>
              <w:adjustRightInd w:val="0"/>
              <w:ind w:left="0"/>
              <w:jc w:val="center"/>
              <w:rPr>
                <w:rFonts w:eastAsia="TimesNewRoman" w:cs="Times New Roman"/>
                <w:b/>
                <w:szCs w:val="24"/>
              </w:rPr>
            </w:pPr>
            <w:r w:rsidRPr="0079745C">
              <w:rPr>
                <w:rFonts w:eastAsia="TimesNewRoman" w:cs="Times New Roman"/>
                <w:b/>
                <w:sz w:val="24"/>
                <w:szCs w:val="24"/>
              </w:rPr>
              <w:t>Section 222 (1) Companies Act</w:t>
            </w:r>
          </w:p>
        </w:tc>
      </w:tr>
      <w:tr w:rsidR="0079745C" w:rsidRPr="0079745C" w:rsidTr="00944358">
        <w:trPr>
          <w:trHeight w:val="5856"/>
        </w:trPr>
        <w:tc>
          <w:tcPr>
            <w:tcW w:w="8363" w:type="dxa"/>
            <w:tcBorders>
              <w:bottom w:val="single" w:sz="4" w:space="0" w:color="auto"/>
            </w:tcBorders>
            <w:shd w:val="clear" w:color="auto" w:fill="D9D9D9" w:themeFill="background1" w:themeFillShade="D9"/>
          </w:tcPr>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(a) to bring or defend any action or other legal proceeding in the name and on behalf of</w:t>
            </w:r>
            <w:r>
              <w:rPr>
                <w:rFonts w:eastAsia="TimesNewRoman" w:cs="Times New Roman"/>
                <w:sz w:val="24"/>
                <w:szCs w:val="24"/>
              </w:rPr>
              <w:t xml:space="preserve"> </w:t>
            </w:r>
            <w:r w:rsidRPr="0079745C">
              <w:rPr>
                <w:rFonts w:eastAsia="TimesNewRoman" w:cs="Times New Roman"/>
                <w:sz w:val="24"/>
                <w:szCs w:val="24"/>
              </w:rPr>
              <w:t>the company;</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(b) to carry on the business of the company, so far as may be necessary for the beneficial</w:t>
            </w:r>
            <w:r>
              <w:rPr>
                <w:rFonts w:eastAsia="TimesNewRoman" w:cs="Times New Roman"/>
                <w:sz w:val="24"/>
                <w:szCs w:val="24"/>
              </w:rPr>
              <w:t xml:space="preserve"> </w:t>
            </w:r>
            <w:r w:rsidRPr="0079745C">
              <w:rPr>
                <w:rFonts w:eastAsia="TimesNewRoman" w:cs="Times New Roman"/>
                <w:sz w:val="24"/>
                <w:szCs w:val="24"/>
              </w:rPr>
              <w:t>winding up thereof;</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(c) to appoint a legal adviser or agent to assist him in the performance of his duties;</w:t>
            </w:r>
          </w:p>
          <w:p w:rsidR="00944358"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(d) to pay any creditors in full if the assets of the company remaining in his hands will suffice to pay in full the debts and liabilities of the company which rank for payment before, or equally with, the debts or claims of the first mentioned creditors;</w:t>
            </w:r>
          </w:p>
          <w:p w:rsidR="00944358" w:rsidRPr="0079745C" w:rsidRDefault="00944358"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(e) to make any compromise or arrangement with creditors or debenture holders or persons claiming to be creditors or debenture holders, or having or alleging themselves to have any claim, present or future, certain or contingent, ascertained or sounding only in damages against the company, or whereby the company may be rendered liable;</w:t>
            </w:r>
          </w:p>
          <w:p w:rsidR="00944358" w:rsidRPr="0079745C" w:rsidRDefault="00944358"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(f) to compromise all calls and liabilities to calls, debts, and liabilities capable of</w:t>
            </w:r>
          </w:p>
          <w:p w:rsidR="00944358" w:rsidRPr="0079745C" w:rsidRDefault="00944358"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resulting in debts and all claims, present or future, certain or contingent, ascertained</w:t>
            </w:r>
          </w:p>
          <w:p w:rsidR="0079745C" w:rsidRPr="0079745C" w:rsidRDefault="00944358" w:rsidP="002B3478">
            <w:pPr>
              <w:autoSpaceDE w:val="0"/>
              <w:autoSpaceDN w:val="0"/>
              <w:adjustRightInd w:val="0"/>
              <w:ind w:left="0"/>
              <w:jc w:val="left"/>
              <w:rPr>
                <w:rFonts w:eastAsia="TimesNewRoman" w:cs="Times New Roman"/>
                <w:szCs w:val="24"/>
              </w:rPr>
            </w:pPr>
            <w:r w:rsidRPr="0079745C">
              <w:rPr>
                <w:rFonts w:eastAsia="TimesNewRoman" w:cs="Times New Roman"/>
                <w:sz w:val="24"/>
                <w:szCs w:val="24"/>
              </w:rPr>
              <w:t>or sounding only in damages, subsisting or supposed to subsist between the company and a contributory, or alleged contributory, or other debtor or person apprehending liability to the company, and all questions in any way relating to or affecting the assets or the winding up of the company, on such terms as may be agreed, and take any security for the discharge of any such call, debt, liability or claim, and give a complete discharge in respect thereof.</w:t>
            </w:r>
          </w:p>
        </w:tc>
      </w:tr>
    </w:tbl>
    <w:p w:rsidR="00EA0505" w:rsidRDefault="00EA0505" w:rsidP="00D94220">
      <w:pPr>
        <w:autoSpaceDE w:val="0"/>
        <w:autoSpaceDN w:val="0"/>
        <w:adjustRightInd w:val="0"/>
        <w:spacing w:before="0" w:after="0"/>
        <w:jc w:val="left"/>
        <w:rPr>
          <w:rFonts w:eastAsia="TimesNewRoman" w:cs="Times New Roman"/>
          <w:szCs w:val="24"/>
        </w:rPr>
      </w:pPr>
    </w:p>
    <w:p w:rsidR="0079745C" w:rsidRDefault="00FC5EF8" w:rsidP="00FC5EF8">
      <w:pPr>
        <w:pStyle w:val="Heading3"/>
        <w:rPr>
          <w:rFonts w:eastAsia="TimesNewRoman"/>
        </w:rPr>
      </w:pPr>
      <w:r>
        <w:rPr>
          <w:rFonts w:eastAsia="TimesNewRoman"/>
        </w:rPr>
        <w:t>8.3.2</w:t>
      </w:r>
      <w:r>
        <w:rPr>
          <w:rFonts w:eastAsia="TimesNewRoman"/>
        </w:rPr>
        <w:tab/>
      </w:r>
      <w:r w:rsidR="0079745C">
        <w:rPr>
          <w:rFonts w:eastAsia="TimesNewRoman"/>
        </w:rPr>
        <w:t>Powers not requiring court sanction (s 222 (2) CA; s 119 (2) IA):</w:t>
      </w:r>
    </w:p>
    <w:p w:rsidR="0079745C" w:rsidRPr="00FC5EF8" w:rsidRDefault="0079745C" w:rsidP="0079745C">
      <w:pPr>
        <w:autoSpaceDE w:val="0"/>
        <w:autoSpaceDN w:val="0"/>
        <w:adjustRightInd w:val="0"/>
        <w:spacing w:before="0" w:after="0"/>
        <w:ind w:left="0"/>
        <w:jc w:val="left"/>
        <w:rPr>
          <w:rFonts w:ascii="TimesNewRoman" w:eastAsia="TimesNewRoman" w:hAnsiTheme="minorHAnsi" w:cs="TimesNewRoman"/>
          <w:b/>
          <w:sz w:val="19"/>
          <w:szCs w:val="19"/>
        </w:rPr>
      </w:pPr>
    </w:p>
    <w:tbl>
      <w:tblPr>
        <w:tblStyle w:val="TableGrid"/>
        <w:tblW w:w="0" w:type="auto"/>
        <w:tblInd w:w="817" w:type="dxa"/>
        <w:shd w:val="clear" w:color="auto" w:fill="D9D9D9" w:themeFill="background1" w:themeFillShade="D9"/>
        <w:tblLook w:val="04A0"/>
      </w:tblPr>
      <w:tblGrid>
        <w:gridCol w:w="8363"/>
      </w:tblGrid>
      <w:tr w:rsidR="0079745C" w:rsidRPr="0079745C" w:rsidTr="0052480D">
        <w:tc>
          <w:tcPr>
            <w:tcW w:w="8363" w:type="dxa"/>
            <w:shd w:val="clear" w:color="auto" w:fill="D9D9D9" w:themeFill="background1" w:themeFillShade="D9"/>
          </w:tcPr>
          <w:p w:rsidR="0079745C" w:rsidRPr="0052480D" w:rsidRDefault="0079745C" w:rsidP="0052480D">
            <w:pPr>
              <w:autoSpaceDE w:val="0"/>
              <w:autoSpaceDN w:val="0"/>
              <w:adjustRightInd w:val="0"/>
              <w:ind w:left="0"/>
              <w:jc w:val="center"/>
              <w:rPr>
                <w:rFonts w:eastAsia="TimesNewRoman" w:cs="Times New Roman"/>
                <w:b/>
                <w:szCs w:val="24"/>
              </w:rPr>
            </w:pPr>
            <w:r w:rsidRPr="0052480D">
              <w:rPr>
                <w:rFonts w:eastAsia="TimesNewRoman" w:cs="Times New Roman"/>
                <w:b/>
                <w:sz w:val="24"/>
                <w:szCs w:val="24"/>
              </w:rPr>
              <w:t>Section 222 (2) Companies Act</w:t>
            </w:r>
          </w:p>
        </w:tc>
      </w:tr>
      <w:tr w:rsidR="0079745C" w:rsidRPr="0079745C" w:rsidTr="005A7537">
        <w:trPr>
          <w:trHeight w:val="983"/>
        </w:trPr>
        <w:tc>
          <w:tcPr>
            <w:tcW w:w="8363" w:type="dxa"/>
            <w:tcBorders>
              <w:bottom w:val="single" w:sz="4" w:space="0" w:color="auto"/>
            </w:tcBorders>
            <w:shd w:val="clear" w:color="auto" w:fill="D9D9D9" w:themeFill="background1" w:themeFillShade="D9"/>
          </w:tcPr>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(a) to sell the assets of the company by public auction or private contract, with power to</w:t>
            </w:r>
            <w:r w:rsidR="0052480D">
              <w:rPr>
                <w:rFonts w:eastAsia="TimesNewRoman" w:cs="Times New Roman"/>
                <w:sz w:val="24"/>
                <w:szCs w:val="24"/>
              </w:rPr>
              <w:t xml:space="preserve"> </w:t>
            </w:r>
            <w:r w:rsidRPr="0079745C">
              <w:rPr>
                <w:rFonts w:eastAsia="TimesNewRoman" w:cs="Times New Roman"/>
                <w:sz w:val="24"/>
                <w:szCs w:val="24"/>
              </w:rPr>
              <w:t>transfer the whole thereof to any person or company, or to sell the same in parcels;</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(b) to do all acts and to execute, in the name and on behalf of the company, all deeds,</w:t>
            </w:r>
            <w:r w:rsidR="0052480D">
              <w:rPr>
                <w:rFonts w:eastAsia="TimesNewRoman" w:cs="Times New Roman"/>
                <w:sz w:val="24"/>
                <w:szCs w:val="24"/>
              </w:rPr>
              <w:t xml:space="preserve"> </w:t>
            </w:r>
            <w:r w:rsidRPr="0079745C">
              <w:rPr>
                <w:rFonts w:eastAsia="TimesNewRoman" w:cs="Times New Roman"/>
                <w:sz w:val="24"/>
                <w:szCs w:val="24"/>
              </w:rPr>
              <w:t>instruments, receipts, and other documents, and for that purpose to have instruments</w:t>
            </w:r>
            <w:r w:rsidR="0052480D">
              <w:rPr>
                <w:rFonts w:eastAsia="TimesNewRoman" w:cs="Times New Roman"/>
                <w:sz w:val="24"/>
                <w:szCs w:val="24"/>
              </w:rPr>
              <w:t xml:space="preserve"> </w:t>
            </w:r>
            <w:r w:rsidRPr="0079745C">
              <w:rPr>
                <w:rFonts w:eastAsia="TimesNewRoman" w:cs="Times New Roman"/>
                <w:sz w:val="24"/>
                <w:szCs w:val="24"/>
              </w:rPr>
              <w:t xml:space="preserve">authenticated by </w:t>
            </w:r>
            <w:proofErr w:type="spellStart"/>
            <w:r w:rsidRPr="0079745C">
              <w:rPr>
                <w:rFonts w:eastAsia="TimesNewRoman" w:cs="Times New Roman"/>
                <w:sz w:val="24"/>
                <w:szCs w:val="24"/>
              </w:rPr>
              <w:t>notarial</w:t>
            </w:r>
            <w:proofErr w:type="spellEnd"/>
            <w:r w:rsidRPr="0079745C">
              <w:rPr>
                <w:rFonts w:eastAsia="TimesNewRoman" w:cs="Times New Roman"/>
                <w:sz w:val="24"/>
                <w:szCs w:val="24"/>
              </w:rPr>
              <w:t xml:space="preserve"> act;</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 xml:space="preserve">(c) to prove, rank, and claim in the bankruptcy, insolvency, or winding up of any contributory, for any amount owing to the company, and to receive dividends in the </w:t>
            </w:r>
            <w:r w:rsidRPr="0079745C">
              <w:rPr>
                <w:rFonts w:eastAsia="TimesNewRoman" w:cs="Times New Roman"/>
                <w:sz w:val="24"/>
                <w:szCs w:val="24"/>
              </w:rPr>
              <w:lastRenderedPageBreak/>
              <w:t>bankruptcy, insolvency, or winding up in respect of that amount;</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(d) to draw, accept, make, and indorse any bill of exchange, cheque or promissory note in the name and on behalf of the company, with the same effect with respect to the liability of the company as if the bill, cheque or note had been drawn, accepted, made, or indorsed by or on behalf of the company in the course of its business;</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 xml:space="preserve">(e) to raise on the security of the assets of the </w:t>
            </w:r>
            <w:proofErr w:type="spellStart"/>
            <w:r w:rsidRPr="0079745C">
              <w:rPr>
                <w:rFonts w:eastAsia="TimesNewRoman" w:cs="Times New Roman"/>
                <w:sz w:val="24"/>
                <w:szCs w:val="24"/>
              </w:rPr>
              <w:t>comраnу</w:t>
            </w:r>
            <w:proofErr w:type="spellEnd"/>
            <w:r w:rsidRPr="0079745C">
              <w:rPr>
                <w:rFonts w:eastAsia="TimesNewRoman" w:cs="Times New Roman"/>
                <w:sz w:val="24"/>
                <w:szCs w:val="24"/>
              </w:rPr>
              <w:t xml:space="preserve"> any money required for the</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purposes of the winding up;</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(f) to take out in his official name letters of administration or representation to the estate</w:t>
            </w:r>
            <w:r w:rsidR="0052480D">
              <w:rPr>
                <w:rFonts w:eastAsia="TimesNewRoman" w:cs="Times New Roman"/>
                <w:sz w:val="24"/>
                <w:szCs w:val="24"/>
              </w:rPr>
              <w:t xml:space="preserve"> </w:t>
            </w:r>
            <w:r w:rsidRPr="0079745C">
              <w:rPr>
                <w:rFonts w:eastAsia="TimesNewRoman" w:cs="Times New Roman"/>
                <w:sz w:val="24"/>
                <w:szCs w:val="24"/>
              </w:rPr>
              <w:t>of any deceased contributory, and to do in his official name any other act necessary for obtaining payment of any money due from a contributory or his estate or its assets which cannot be conveniently done in the name of the company, and in all such cases the money due shall, for the purpose of enabling the liquidator to take out the letters of administration or representation or to recover the money, be deemed to be due to the liquidator himself;</w:t>
            </w:r>
          </w:p>
          <w:p w:rsidR="0079745C" w:rsidRPr="0079745C" w:rsidRDefault="0079745C" w:rsidP="002B3478">
            <w:pPr>
              <w:autoSpaceDE w:val="0"/>
              <w:autoSpaceDN w:val="0"/>
              <w:adjustRightInd w:val="0"/>
              <w:ind w:left="0"/>
              <w:jc w:val="left"/>
              <w:rPr>
                <w:rFonts w:eastAsia="TimesNewRoman" w:cs="Times New Roman"/>
                <w:sz w:val="24"/>
                <w:szCs w:val="24"/>
              </w:rPr>
            </w:pPr>
            <w:r w:rsidRPr="0079745C">
              <w:rPr>
                <w:rFonts w:eastAsia="TimesNewRoman" w:cs="Times New Roman"/>
                <w:sz w:val="24"/>
                <w:szCs w:val="24"/>
              </w:rPr>
              <w:t>(g) to appoint an agent to do any business which the liquidator is unable to do himself;</w:t>
            </w:r>
          </w:p>
          <w:p w:rsidR="0079745C" w:rsidRPr="0079745C" w:rsidRDefault="0079745C" w:rsidP="002B3478">
            <w:pPr>
              <w:autoSpaceDE w:val="0"/>
              <w:autoSpaceDN w:val="0"/>
              <w:adjustRightInd w:val="0"/>
              <w:ind w:left="0"/>
              <w:jc w:val="left"/>
              <w:rPr>
                <w:rFonts w:eastAsia="TimesNewRoman" w:cs="Times New Roman"/>
                <w:szCs w:val="24"/>
              </w:rPr>
            </w:pPr>
            <w:r w:rsidRPr="0079745C">
              <w:rPr>
                <w:rFonts w:eastAsia="TimesNewRoman" w:cs="Times New Roman"/>
                <w:sz w:val="24"/>
                <w:szCs w:val="24"/>
              </w:rPr>
              <w:t xml:space="preserve">(h) </w:t>
            </w:r>
            <w:proofErr w:type="gramStart"/>
            <w:r w:rsidRPr="0079745C">
              <w:rPr>
                <w:rFonts w:eastAsia="TimesNewRoman" w:cs="Times New Roman"/>
                <w:sz w:val="24"/>
                <w:szCs w:val="24"/>
              </w:rPr>
              <w:t>to</w:t>
            </w:r>
            <w:proofErr w:type="gramEnd"/>
            <w:r w:rsidRPr="0079745C">
              <w:rPr>
                <w:rFonts w:eastAsia="TimesNewRoman" w:cs="Times New Roman"/>
                <w:sz w:val="24"/>
                <w:szCs w:val="24"/>
              </w:rPr>
              <w:t xml:space="preserve"> do all such other things as may be necessary for winding up the affairs of the company and distributing its assets.</w:t>
            </w:r>
          </w:p>
        </w:tc>
      </w:tr>
    </w:tbl>
    <w:p w:rsidR="00EA0505" w:rsidRDefault="00EA0505" w:rsidP="0079745C">
      <w:pPr>
        <w:autoSpaceDE w:val="0"/>
        <w:autoSpaceDN w:val="0"/>
        <w:adjustRightInd w:val="0"/>
        <w:spacing w:before="0" w:after="0"/>
        <w:ind w:left="0"/>
        <w:jc w:val="left"/>
        <w:rPr>
          <w:rFonts w:eastAsia="TimesNewRoman" w:cs="Times New Roman"/>
          <w:szCs w:val="24"/>
        </w:rPr>
      </w:pPr>
    </w:p>
    <w:p w:rsidR="00E17DF8" w:rsidRDefault="005A7537" w:rsidP="0052480D">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 xml:space="preserve">One of the principal </w:t>
      </w:r>
      <w:r w:rsidR="002023BF">
        <w:rPr>
          <w:rFonts w:eastAsia="TimesNewRoman" w:cs="Times New Roman"/>
          <w:szCs w:val="24"/>
        </w:rPr>
        <w:t xml:space="preserve">duties of the liquidator in a winding up is to ensure that fraudulent trading by the officers of the company prior to the winding up is corrected. </w:t>
      </w:r>
    </w:p>
    <w:p w:rsidR="002023BF" w:rsidRDefault="002023BF" w:rsidP="0052480D">
      <w:pPr>
        <w:autoSpaceDE w:val="0"/>
        <w:autoSpaceDN w:val="0"/>
        <w:adjustRightInd w:val="0"/>
        <w:spacing w:before="0" w:after="0"/>
        <w:contextualSpacing/>
        <w:jc w:val="left"/>
        <w:rPr>
          <w:rFonts w:eastAsia="TimesNewRoman" w:cs="Times New Roman"/>
          <w:szCs w:val="24"/>
        </w:rPr>
      </w:pPr>
    </w:p>
    <w:p w:rsidR="002023BF" w:rsidRDefault="00FC5EF8" w:rsidP="008D30E6">
      <w:pPr>
        <w:pStyle w:val="Heading2"/>
        <w:rPr>
          <w:rFonts w:eastAsia="TimesNewRoman"/>
        </w:rPr>
      </w:pPr>
      <w:r>
        <w:rPr>
          <w:rFonts w:eastAsia="TimesNewRoman"/>
        </w:rPr>
        <w:t>8.4</w:t>
      </w:r>
      <w:r>
        <w:rPr>
          <w:rFonts w:eastAsia="TimesNewRoman"/>
        </w:rPr>
        <w:tab/>
      </w:r>
      <w:r w:rsidR="002023BF">
        <w:rPr>
          <w:rFonts w:eastAsia="TimesNewRoman"/>
        </w:rPr>
        <w:t>Fraudulent Trading</w:t>
      </w:r>
    </w:p>
    <w:p w:rsidR="008D30E6" w:rsidRDefault="008D30E6" w:rsidP="00944358">
      <w:pPr>
        <w:autoSpaceDE w:val="0"/>
        <w:autoSpaceDN w:val="0"/>
        <w:adjustRightInd w:val="0"/>
        <w:spacing w:before="0" w:after="0"/>
        <w:contextualSpacing/>
        <w:rPr>
          <w:rFonts w:eastAsia="TimesNewRoman" w:cs="Times New Roman"/>
          <w:szCs w:val="24"/>
        </w:rPr>
      </w:pPr>
    </w:p>
    <w:p w:rsidR="002023BF" w:rsidRDefault="002023BF" w:rsidP="00944358">
      <w:pPr>
        <w:autoSpaceDE w:val="0"/>
        <w:autoSpaceDN w:val="0"/>
        <w:adjustRightInd w:val="0"/>
        <w:spacing w:before="0" w:after="0"/>
        <w:contextualSpacing/>
        <w:rPr>
          <w:rFonts w:eastAsia="TimesNewRoman" w:cs="Times New Roman"/>
          <w:szCs w:val="24"/>
        </w:rPr>
      </w:pPr>
      <w:r>
        <w:rPr>
          <w:rFonts w:eastAsia="TimesNewRoman" w:cs="Times New Roman"/>
          <w:szCs w:val="24"/>
        </w:rPr>
        <w:t>The liquidator (or any creditor, shareholder, contributory, debenture holder) has the power, during the course of the liquidation of the company, to take action through the court against any director or officer of the company who has conducted the affairs of the company fraudulently. This is a drastic action as it results in the director being personally liable for the loss to the company cause</w:t>
      </w:r>
      <w:r w:rsidR="004A1DD1">
        <w:rPr>
          <w:rFonts w:eastAsia="TimesNewRoman" w:cs="Times New Roman"/>
          <w:szCs w:val="24"/>
        </w:rPr>
        <w:t>d</w:t>
      </w:r>
      <w:r>
        <w:rPr>
          <w:rFonts w:eastAsia="TimesNewRoman" w:cs="Times New Roman"/>
          <w:szCs w:val="24"/>
        </w:rPr>
        <w:t xml:space="preserve"> by his or her actions. </w:t>
      </w:r>
      <w:r w:rsidR="00C3493C">
        <w:rPr>
          <w:rFonts w:eastAsia="TimesNewRoman" w:cs="Times New Roman"/>
          <w:szCs w:val="24"/>
        </w:rPr>
        <w:t xml:space="preserve">This then contributes to the assets of the company in liquidation. </w:t>
      </w:r>
      <w:r>
        <w:rPr>
          <w:rFonts w:eastAsia="TimesNewRoman" w:cs="Times New Roman"/>
          <w:szCs w:val="24"/>
        </w:rPr>
        <w:t xml:space="preserve">What constitutes fraudulent trading is set out in section 290 of the Companies Act: </w:t>
      </w:r>
    </w:p>
    <w:p w:rsidR="002023BF" w:rsidRDefault="002023BF" w:rsidP="0052480D">
      <w:pPr>
        <w:autoSpaceDE w:val="0"/>
        <w:autoSpaceDN w:val="0"/>
        <w:adjustRightInd w:val="0"/>
        <w:spacing w:before="0" w:after="0"/>
        <w:contextualSpacing/>
        <w:jc w:val="left"/>
        <w:rPr>
          <w:rFonts w:eastAsia="TimesNewRoman" w:cs="Times New Roman"/>
          <w:szCs w:val="24"/>
        </w:rPr>
      </w:pPr>
    </w:p>
    <w:tbl>
      <w:tblPr>
        <w:tblStyle w:val="TableGrid"/>
        <w:tblW w:w="0" w:type="auto"/>
        <w:tblInd w:w="817" w:type="dxa"/>
        <w:shd w:val="clear" w:color="auto" w:fill="D9D9D9" w:themeFill="background1" w:themeFillShade="D9"/>
        <w:tblLook w:val="04A0"/>
      </w:tblPr>
      <w:tblGrid>
        <w:gridCol w:w="8363"/>
      </w:tblGrid>
      <w:tr w:rsidR="002023BF" w:rsidRPr="002023BF" w:rsidTr="00944358">
        <w:tc>
          <w:tcPr>
            <w:tcW w:w="8363" w:type="dxa"/>
            <w:shd w:val="clear" w:color="auto" w:fill="D9D9D9" w:themeFill="background1" w:themeFillShade="D9"/>
          </w:tcPr>
          <w:p w:rsidR="002023BF" w:rsidRPr="00944358" w:rsidRDefault="002023BF" w:rsidP="00944358">
            <w:pPr>
              <w:autoSpaceDE w:val="0"/>
              <w:autoSpaceDN w:val="0"/>
              <w:adjustRightInd w:val="0"/>
              <w:ind w:left="0"/>
              <w:jc w:val="center"/>
              <w:rPr>
                <w:rFonts w:eastAsia="TimesNewRoman" w:cs="Times New Roman"/>
                <w:b/>
                <w:szCs w:val="24"/>
              </w:rPr>
            </w:pPr>
            <w:r w:rsidRPr="00944358">
              <w:rPr>
                <w:rFonts w:eastAsia="TimesNewRoman" w:cs="Times New Roman"/>
                <w:b/>
                <w:sz w:val="24"/>
                <w:szCs w:val="24"/>
              </w:rPr>
              <w:t>290</w:t>
            </w:r>
            <w:r w:rsidR="004A1DD1">
              <w:rPr>
                <w:rFonts w:eastAsia="TimesNewRoman" w:cs="Times New Roman"/>
                <w:b/>
                <w:sz w:val="24"/>
                <w:szCs w:val="24"/>
              </w:rPr>
              <w:t xml:space="preserve"> </w:t>
            </w:r>
            <w:r w:rsidRPr="00944358">
              <w:rPr>
                <w:rFonts w:eastAsia="TimesNewRoman" w:cs="Times New Roman"/>
                <w:b/>
                <w:sz w:val="24"/>
                <w:szCs w:val="24"/>
              </w:rPr>
              <w:t>(1)</w:t>
            </w:r>
          </w:p>
        </w:tc>
      </w:tr>
      <w:tr w:rsidR="002023BF" w:rsidRPr="002023BF" w:rsidTr="00944358">
        <w:trPr>
          <w:trHeight w:val="1972"/>
        </w:trPr>
        <w:tc>
          <w:tcPr>
            <w:tcW w:w="8363" w:type="dxa"/>
            <w:tcBorders>
              <w:bottom w:val="single" w:sz="4" w:space="0" w:color="auto"/>
            </w:tcBorders>
            <w:shd w:val="clear" w:color="auto" w:fill="D9D9D9" w:themeFill="background1" w:themeFillShade="D9"/>
          </w:tcPr>
          <w:p w:rsidR="00944358" w:rsidRPr="002023BF" w:rsidRDefault="002023BF" w:rsidP="002B3478">
            <w:pPr>
              <w:autoSpaceDE w:val="0"/>
              <w:autoSpaceDN w:val="0"/>
              <w:adjustRightInd w:val="0"/>
              <w:ind w:left="0"/>
              <w:jc w:val="left"/>
              <w:rPr>
                <w:rFonts w:eastAsia="TimesNewRoman" w:cs="Times New Roman"/>
                <w:sz w:val="24"/>
                <w:szCs w:val="24"/>
              </w:rPr>
            </w:pPr>
            <w:r w:rsidRPr="002023BF">
              <w:rPr>
                <w:rFonts w:eastAsia="TimesNewRoman" w:cs="Times New Roman"/>
                <w:sz w:val="24"/>
                <w:szCs w:val="24"/>
              </w:rPr>
              <w:t>If in the course of the winding up of a company it appears that any business of the company has been</w:t>
            </w:r>
            <w:r w:rsidR="004A1DD1">
              <w:rPr>
                <w:rFonts w:eastAsia="TimesNewRoman" w:cs="Times New Roman"/>
                <w:sz w:val="24"/>
                <w:szCs w:val="24"/>
              </w:rPr>
              <w:t xml:space="preserve"> </w:t>
            </w:r>
            <w:r w:rsidRPr="002023BF">
              <w:rPr>
                <w:rFonts w:eastAsia="TimesNewRoman" w:cs="Times New Roman"/>
                <w:sz w:val="24"/>
                <w:szCs w:val="24"/>
              </w:rPr>
              <w:t>carried on:-</w:t>
            </w:r>
          </w:p>
          <w:p w:rsidR="00944358" w:rsidRPr="002023BF" w:rsidRDefault="00944358" w:rsidP="002B3478">
            <w:pPr>
              <w:autoSpaceDE w:val="0"/>
              <w:autoSpaceDN w:val="0"/>
              <w:adjustRightInd w:val="0"/>
              <w:ind w:left="0"/>
              <w:jc w:val="left"/>
              <w:rPr>
                <w:rFonts w:eastAsia="TimesNewRoman" w:cs="Times New Roman"/>
                <w:sz w:val="24"/>
                <w:szCs w:val="24"/>
              </w:rPr>
            </w:pPr>
            <w:r w:rsidRPr="002023BF">
              <w:rPr>
                <w:rFonts w:eastAsia="TimesNewRoman" w:cs="Times New Roman"/>
                <w:sz w:val="24"/>
                <w:szCs w:val="24"/>
              </w:rPr>
              <w:t>(a) with intent to defraud creditors of the company or the creditors of any other person,</w:t>
            </w:r>
            <w:r>
              <w:rPr>
                <w:rFonts w:eastAsia="TimesNewRoman" w:cs="Times New Roman"/>
                <w:sz w:val="24"/>
                <w:szCs w:val="24"/>
              </w:rPr>
              <w:t xml:space="preserve"> </w:t>
            </w:r>
            <w:r w:rsidRPr="002023BF">
              <w:rPr>
                <w:rFonts w:eastAsia="TimesNewRoman" w:cs="Times New Roman"/>
                <w:sz w:val="24"/>
                <w:szCs w:val="24"/>
              </w:rPr>
              <w:t>or for any fraudulent purpose; or</w:t>
            </w:r>
          </w:p>
          <w:p w:rsidR="00944358" w:rsidRPr="002023BF" w:rsidRDefault="00944358" w:rsidP="002B3478">
            <w:pPr>
              <w:autoSpaceDE w:val="0"/>
              <w:autoSpaceDN w:val="0"/>
              <w:adjustRightInd w:val="0"/>
              <w:ind w:left="0"/>
              <w:jc w:val="left"/>
              <w:rPr>
                <w:rFonts w:eastAsia="TimesNewRoman" w:cs="Times New Roman"/>
                <w:sz w:val="24"/>
                <w:szCs w:val="24"/>
              </w:rPr>
            </w:pPr>
            <w:r w:rsidRPr="002023BF">
              <w:rPr>
                <w:rFonts w:eastAsia="TimesNewRoman" w:cs="Times New Roman"/>
                <w:sz w:val="24"/>
                <w:szCs w:val="24"/>
              </w:rPr>
              <w:t>(b) with reckless disregard of the company’s obligation to pay its debts and liabilities; or</w:t>
            </w:r>
          </w:p>
          <w:p w:rsidR="002023BF" w:rsidRPr="002023BF" w:rsidRDefault="00944358" w:rsidP="002B3478">
            <w:pPr>
              <w:autoSpaceDE w:val="0"/>
              <w:autoSpaceDN w:val="0"/>
              <w:adjustRightInd w:val="0"/>
              <w:ind w:left="0"/>
              <w:jc w:val="left"/>
              <w:rPr>
                <w:rFonts w:eastAsia="TimesNewRoman" w:cs="Times New Roman"/>
                <w:szCs w:val="24"/>
              </w:rPr>
            </w:pPr>
            <w:r w:rsidRPr="002023BF">
              <w:rPr>
                <w:rFonts w:eastAsia="TimesNewRoman" w:cs="Times New Roman"/>
                <w:sz w:val="24"/>
                <w:szCs w:val="24"/>
              </w:rPr>
              <w:t>(c) with reckless disregard of the insufficiency of the company’s assets to satisfy its debts and liabilities</w:t>
            </w:r>
          </w:p>
        </w:tc>
      </w:tr>
    </w:tbl>
    <w:p w:rsidR="002023BF" w:rsidRDefault="002023BF" w:rsidP="0052480D">
      <w:pPr>
        <w:autoSpaceDE w:val="0"/>
        <w:autoSpaceDN w:val="0"/>
        <w:adjustRightInd w:val="0"/>
        <w:spacing w:before="0" w:after="0"/>
        <w:contextualSpacing/>
        <w:jc w:val="left"/>
        <w:rPr>
          <w:rFonts w:eastAsia="TimesNewRoman" w:cs="Times New Roman"/>
          <w:szCs w:val="24"/>
        </w:rPr>
      </w:pPr>
    </w:p>
    <w:p w:rsidR="00C3493C" w:rsidRDefault="00C3493C" w:rsidP="00E17DF8">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 xml:space="preserve">Under the Insolvency Act 2013, fraudulent trading is now categorised as </w:t>
      </w:r>
      <w:r w:rsidRPr="008D30E6">
        <w:rPr>
          <w:rFonts w:eastAsia="TimesNewRoman" w:cs="Times New Roman"/>
          <w:szCs w:val="24"/>
          <w:u w:val="single"/>
        </w:rPr>
        <w:t>voidable preference</w:t>
      </w:r>
      <w:r>
        <w:rPr>
          <w:rFonts w:eastAsia="TimesNewRoman" w:cs="Times New Roman"/>
          <w:szCs w:val="24"/>
        </w:rPr>
        <w:t xml:space="preserve"> and </w:t>
      </w:r>
      <w:r w:rsidRPr="008D30E6">
        <w:rPr>
          <w:rFonts w:eastAsia="TimesNewRoman" w:cs="Times New Roman"/>
          <w:szCs w:val="24"/>
          <w:u w:val="single"/>
        </w:rPr>
        <w:t>voidable transactions</w:t>
      </w:r>
      <w:r>
        <w:rPr>
          <w:rFonts w:eastAsia="TimesNewRoman" w:cs="Times New Roman"/>
          <w:szCs w:val="24"/>
        </w:rPr>
        <w:t xml:space="preserve">: </w:t>
      </w:r>
      <w:proofErr w:type="spellStart"/>
      <w:r>
        <w:rPr>
          <w:rFonts w:eastAsia="TimesNewRoman" w:cs="Times New Roman"/>
          <w:szCs w:val="24"/>
        </w:rPr>
        <w:t>ss</w:t>
      </w:r>
      <w:proofErr w:type="spellEnd"/>
      <w:r>
        <w:rPr>
          <w:rFonts w:eastAsia="TimesNewRoman" w:cs="Times New Roman"/>
          <w:szCs w:val="24"/>
        </w:rPr>
        <w:t xml:space="preserve"> 324, 330.</w:t>
      </w:r>
    </w:p>
    <w:p w:rsidR="00C3493C" w:rsidRDefault="00C3493C" w:rsidP="00E17DF8">
      <w:pPr>
        <w:autoSpaceDE w:val="0"/>
        <w:autoSpaceDN w:val="0"/>
        <w:adjustRightInd w:val="0"/>
        <w:spacing w:before="0" w:after="0"/>
        <w:contextualSpacing/>
        <w:jc w:val="left"/>
        <w:rPr>
          <w:rFonts w:eastAsia="TimesNewRoman" w:cs="Times New Roman"/>
          <w:szCs w:val="24"/>
        </w:rPr>
      </w:pPr>
    </w:p>
    <w:p w:rsidR="00E17DF8" w:rsidRPr="0079745C" w:rsidRDefault="00E17DF8" w:rsidP="00E17DF8">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 xml:space="preserve">The liquidator is released when the affairs of </w:t>
      </w:r>
      <w:r w:rsidR="00A5197D">
        <w:rPr>
          <w:rFonts w:eastAsia="TimesNewRoman" w:cs="Times New Roman"/>
          <w:szCs w:val="24"/>
        </w:rPr>
        <w:t>the company have been fully woun</w:t>
      </w:r>
      <w:r>
        <w:rPr>
          <w:rFonts w:eastAsia="TimesNewRoman" w:cs="Times New Roman"/>
          <w:szCs w:val="24"/>
        </w:rPr>
        <w:t xml:space="preserve">d up: s 228 CA. </w:t>
      </w:r>
    </w:p>
    <w:p w:rsidR="00E17DF8" w:rsidRDefault="00E17DF8" w:rsidP="0052480D">
      <w:pPr>
        <w:autoSpaceDE w:val="0"/>
        <w:autoSpaceDN w:val="0"/>
        <w:adjustRightInd w:val="0"/>
        <w:spacing w:before="0" w:after="0"/>
        <w:contextualSpacing/>
        <w:jc w:val="left"/>
        <w:rPr>
          <w:rFonts w:eastAsia="TimesNewRoman" w:cs="Times New Roman"/>
          <w:szCs w:val="24"/>
        </w:rPr>
      </w:pPr>
    </w:p>
    <w:p w:rsidR="0052480D" w:rsidRDefault="008D30E6" w:rsidP="008D30E6">
      <w:pPr>
        <w:pStyle w:val="Heading2"/>
        <w:rPr>
          <w:rFonts w:eastAsia="TimesNewRoman"/>
        </w:rPr>
      </w:pPr>
      <w:r>
        <w:rPr>
          <w:rFonts w:eastAsia="TimesNewRoman"/>
        </w:rPr>
        <w:lastRenderedPageBreak/>
        <w:t>8.5</w:t>
      </w:r>
      <w:r>
        <w:rPr>
          <w:rFonts w:eastAsia="TimesNewRoman"/>
        </w:rPr>
        <w:tab/>
      </w:r>
      <w:r w:rsidR="0052480D">
        <w:rPr>
          <w:rFonts w:eastAsia="TimesNewRoman"/>
        </w:rPr>
        <w:t>Committee of Inspection</w:t>
      </w:r>
    </w:p>
    <w:p w:rsidR="008D30E6" w:rsidRDefault="008D30E6" w:rsidP="0052480D">
      <w:pPr>
        <w:autoSpaceDE w:val="0"/>
        <w:autoSpaceDN w:val="0"/>
        <w:adjustRightInd w:val="0"/>
        <w:spacing w:before="0" w:after="0"/>
        <w:contextualSpacing/>
        <w:jc w:val="left"/>
        <w:rPr>
          <w:rFonts w:eastAsia="TimesNewRoman" w:cs="Times New Roman"/>
          <w:szCs w:val="24"/>
        </w:rPr>
      </w:pPr>
    </w:p>
    <w:p w:rsidR="0052480D" w:rsidRDefault="0052480D" w:rsidP="0052480D">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In a court winding up, the creditors and shareholders may appoint a committee of inspection to act with the liquidator to ensure that the respective rights of both sets of persons are respected: s CA; s 229; s 123 IA. The liquidator, once the winding up order has been made, is an agent of the creditors and shareholders and not the petitioner any longer. To that end, the liquidator must take into consideration, during the course of the winding up, the directions given to him or her by the creditors and shareholders: s 223 CA.</w:t>
      </w:r>
    </w:p>
    <w:p w:rsidR="0052480D" w:rsidRDefault="0052480D" w:rsidP="0052480D">
      <w:pPr>
        <w:autoSpaceDE w:val="0"/>
        <w:autoSpaceDN w:val="0"/>
        <w:adjustRightInd w:val="0"/>
        <w:spacing w:before="0" w:after="0"/>
        <w:contextualSpacing/>
        <w:jc w:val="left"/>
        <w:rPr>
          <w:rFonts w:eastAsia="TimesNewRoman" w:cs="Times New Roman"/>
          <w:szCs w:val="24"/>
        </w:rPr>
      </w:pPr>
    </w:p>
    <w:p w:rsidR="005A7537" w:rsidRDefault="008D30E6" w:rsidP="008D30E6">
      <w:pPr>
        <w:pStyle w:val="Heading2"/>
        <w:rPr>
          <w:rFonts w:eastAsia="TimesNewRoman"/>
        </w:rPr>
      </w:pPr>
      <w:r>
        <w:rPr>
          <w:rFonts w:eastAsia="TimesNewRoman"/>
        </w:rPr>
        <w:t>8.6</w:t>
      </w:r>
      <w:r>
        <w:rPr>
          <w:rFonts w:eastAsia="TimesNewRoman"/>
        </w:rPr>
        <w:tab/>
      </w:r>
      <w:r w:rsidR="005A7537">
        <w:rPr>
          <w:rFonts w:eastAsia="TimesNewRoman"/>
        </w:rPr>
        <w:t>Dissolution of Company</w:t>
      </w:r>
    </w:p>
    <w:p w:rsidR="008D30E6" w:rsidRDefault="008D30E6" w:rsidP="0052480D">
      <w:pPr>
        <w:autoSpaceDE w:val="0"/>
        <w:autoSpaceDN w:val="0"/>
        <w:adjustRightInd w:val="0"/>
        <w:spacing w:before="0" w:after="0"/>
        <w:contextualSpacing/>
        <w:jc w:val="left"/>
        <w:rPr>
          <w:rFonts w:eastAsia="TimesNewRoman" w:cs="Times New Roman"/>
          <w:szCs w:val="24"/>
        </w:rPr>
      </w:pPr>
    </w:p>
    <w:p w:rsidR="00E17DF8" w:rsidRDefault="005A7537" w:rsidP="0052480D">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Once the process of l</w:t>
      </w:r>
      <w:r w:rsidR="00F67511">
        <w:rPr>
          <w:rFonts w:eastAsia="TimesNewRoman" w:cs="Times New Roman"/>
          <w:szCs w:val="24"/>
        </w:rPr>
        <w:t>iquidation</w:t>
      </w:r>
      <w:r>
        <w:rPr>
          <w:rFonts w:eastAsia="TimesNewRoman" w:cs="Times New Roman"/>
          <w:szCs w:val="24"/>
        </w:rPr>
        <w:t xml:space="preserve"> is over, it is time to bury the dead company. This process is called the </w:t>
      </w:r>
      <w:r w:rsidRPr="005A7537">
        <w:rPr>
          <w:rFonts w:eastAsia="TimesNewRoman" w:cs="Times New Roman"/>
          <w:szCs w:val="24"/>
          <w:u w:val="single"/>
        </w:rPr>
        <w:t>dissolution</w:t>
      </w:r>
      <w:r>
        <w:rPr>
          <w:rFonts w:eastAsia="TimesNewRoman" w:cs="Times New Roman"/>
          <w:szCs w:val="24"/>
        </w:rPr>
        <w:t xml:space="preserve"> of the company. This is done by the court upon application made: s 245, 259 CA.</w:t>
      </w:r>
    </w:p>
    <w:p w:rsidR="00F67511" w:rsidRDefault="00F67511" w:rsidP="0052480D">
      <w:pPr>
        <w:autoSpaceDE w:val="0"/>
        <w:autoSpaceDN w:val="0"/>
        <w:adjustRightInd w:val="0"/>
        <w:spacing w:before="0" w:after="0"/>
        <w:contextualSpacing/>
        <w:jc w:val="left"/>
        <w:rPr>
          <w:rFonts w:eastAsia="TimesNewRoman" w:cs="Times New Roman"/>
          <w:szCs w:val="24"/>
        </w:rPr>
      </w:pPr>
    </w:p>
    <w:p w:rsidR="00F67511" w:rsidRDefault="008D30E6" w:rsidP="008D30E6">
      <w:pPr>
        <w:pStyle w:val="Heading2"/>
        <w:rPr>
          <w:rFonts w:eastAsia="TimesNewRoman"/>
        </w:rPr>
      </w:pPr>
      <w:r>
        <w:rPr>
          <w:rFonts w:eastAsia="TimesNewRoman"/>
        </w:rPr>
        <w:t>8.7</w:t>
      </w:r>
      <w:r>
        <w:rPr>
          <w:rFonts w:eastAsia="TimesNewRoman"/>
        </w:rPr>
        <w:tab/>
      </w:r>
      <w:r w:rsidR="00C3493C">
        <w:rPr>
          <w:rFonts w:eastAsia="TimesNewRoman"/>
        </w:rPr>
        <w:t>Insolvency Act Innovations</w:t>
      </w:r>
    </w:p>
    <w:p w:rsidR="008D30E6" w:rsidRDefault="008D30E6" w:rsidP="0052480D">
      <w:pPr>
        <w:autoSpaceDE w:val="0"/>
        <w:autoSpaceDN w:val="0"/>
        <w:adjustRightInd w:val="0"/>
        <w:spacing w:before="0" w:after="0"/>
        <w:contextualSpacing/>
        <w:jc w:val="left"/>
        <w:rPr>
          <w:rFonts w:eastAsia="TimesNewRoman" w:cs="Times New Roman"/>
          <w:szCs w:val="24"/>
        </w:rPr>
      </w:pPr>
    </w:p>
    <w:p w:rsidR="00C3493C" w:rsidRDefault="00C3493C" w:rsidP="0052480D">
      <w:pPr>
        <w:autoSpaceDE w:val="0"/>
        <w:autoSpaceDN w:val="0"/>
        <w:adjustRightInd w:val="0"/>
        <w:spacing w:before="0" w:after="0"/>
        <w:contextualSpacing/>
        <w:jc w:val="left"/>
        <w:rPr>
          <w:rFonts w:eastAsia="TimesNewRoman" w:cs="Times New Roman"/>
          <w:szCs w:val="24"/>
        </w:rPr>
      </w:pPr>
      <w:r>
        <w:rPr>
          <w:rFonts w:eastAsia="TimesNewRoman" w:cs="Times New Roman"/>
          <w:szCs w:val="24"/>
        </w:rPr>
        <w:t xml:space="preserve">As part of its modernising of the law of insolvency, including company insolvency, the Insolvency Act </w:t>
      </w:r>
      <w:r w:rsidR="0098791B">
        <w:rPr>
          <w:rFonts w:eastAsia="TimesNewRoman" w:cs="Times New Roman"/>
          <w:szCs w:val="24"/>
        </w:rPr>
        <w:t xml:space="preserve">makes provision for the reorganisation of companies in difficulty as an alternative to liquidation. </w:t>
      </w:r>
      <w:r w:rsidR="00052201">
        <w:rPr>
          <w:rFonts w:eastAsia="TimesNewRoman" w:cs="Times New Roman"/>
          <w:szCs w:val="24"/>
        </w:rPr>
        <w:t>T</w:t>
      </w:r>
      <w:r w:rsidR="0098791B">
        <w:rPr>
          <w:rFonts w:eastAsia="TimesNewRoman" w:cs="Times New Roman"/>
          <w:szCs w:val="24"/>
        </w:rPr>
        <w:t>he</w:t>
      </w:r>
      <w:r w:rsidR="008D30E6">
        <w:rPr>
          <w:rFonts w:eastAsia="TimesNewRoman" w:cs="Times New Roman"/>
          <w:szCs w:val="24"/>
        </w:rPr>
        <w:t xml:space="preserve"> most important innovation is </w:t>
      </w:r>
      <w:r w:rsidR="008D30E6" w:rsidRPr="008D30E6">
        <w:rPr>
          <w:rFonts w:eastAsia="TimesNewRoman" w:cs="Times New Roman"/>
          <w:szCs w:val="24"/>
          <w:u w:val="single"/>
        </w:rPr>
        <w:t>Company R</w:t>
      </w:r>
      <w:r w:rsidR="00052201" w:rsidRPr="008D30E6">
        <w:rPr>
          <w:rFonts w:eastAsia="TimesNewRoman" w:cs="Times New Roman"/>
          <w:szCs w:val="24"/>
          <w:u w:val="single"/>
        </w:rPr>
        <w:t>eorganisation</w:t>
      </w:r>
      <w:r w:rsidR="00052201">
        <w:rPr>
          <w:rFonts w:eastAsia="TimesNewRoman" w:cs="Times New Roman"/>
          <w:szCs w:val="24"/>
        </w:rPr>
        <w:t xml:space="preserve"> under Part VI of the Act. This allows the company, liquidator or the court to appoint an administrator to take control of the affairs of the company, protect its assets, prepare a rescue plan and effectively put an ailing company back on the road to recovery. </w:t>
      </w:r>
    </w:p>
    <w:p w:rsidR="00F67511" w:rsidRDefault="00F67511" w:rsidP="0052480D">
      <w:pPr>
        <w:autoSpaceDE w:val="0"/>
        <w:autoSpaceDN w:val="0"/>
        <w:adjustRightInd w:val="0"/>
        <w:spacing w:before="0" w:after="0"/>
        <w:contextualSpacing/>
        <w:jc w:val="left"/>
        <w:rPr>
          <w:rFonts w:eastAsia="TimesNewRoman" w:cs="Times New Roman"/>
          <w:szCs w:val="24"/>
        </w:rPr>
      </w:pPr>
    </w:p>
    <w:sectPr w:rsidR="00F67511" w:rsidSect="002111DD">
      <w:footerReference w:type="default" r:id="rId8"/>
      <w:pgSz w:w="11906" w:h="16838"/>
      <w:pgMar w:top="1440" w:right="1440" w:bottom="1440" w:left="1440" w:header="708" w:footer="708" w:gutter="0"/>
      <w:pgNumType w:start="3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FF0" w:rsidRPr="003474BC" w:rsidRDefault="00BF3FF0" w:rsidP="003474BC">
      <w:pPr>
        <w:spacing w:before="0" w:after="0"/>
      </w:pPr>
      <w:r>
        <w:separator/>
      </w:r>
    </w:p>
  </w:endnote>
  <w:endnote w:type="continuationSeparator" w:id="0">
    <w:p w:rsidR="00BF3FF0" w:rsidRPr="003474BC" w:rsidRDefault="00BF3FF0" w:rsidP="003474BC">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638833"/>
      <w:docPartObj>
        <w:docPartGallery w:val="Page Numbers (Bottom of Page)"/>
        <w:docPartUnique/>
      </w:docPartObj>
    </w:sdtPr>
    <w:sdtContent>
      <w:p w:rsidR="002B3478" w:rsidRDefault="00811A17">
        <w:pPr>
          <w:pStyle w:val="Footer"/>
          <w:jc w:val="center"/>
        </w:pPr>
        <w:fldSimple w:instr=" PAGE   \* MERGEFORMAT ">
          <w:r w:rsidR="00666F95">
            <w:rPr>
              <w:noProof/>
            </w:rPr>
            <w:t>43</w:t>
          </w:r>
        </w:fldSimple>
      </w:p>
    </w:sdtContent>
  </w:sdt>
  <w:p w:rsidR="002B3478" w:rsidRDefault="002B34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FF0" w:rsidRPr="003474BC" w:rsidRDefault="00BF3FF0" w:rsidP="003474BC">
      <w:pPr>
        <w:spacing w:before="0" w:after="0"/>
      </w:pPr>
      <w:r>
        <w:separator/>
      </w:r>
    </w:p>
  </w:footnote>
  <w:footnote w:type="continuationSeparator" w:id="0">
    <w:p w:rsidR="00BF3FF0" w:rsidRPr="003474BC" w:rsidRDefault="00BF3FF0" w:rsidP="003474BC">
      <w:pPr>
        <w:spacing w:before="0" w:after="0"/>
      </w:pPr>
      <w:r>
        <w:continuationSeparator/>
      </w:r>
    </w:p>
  </w:footnote>
  <w:footnote w:id="1">
    <w:p w:rsidR="002B3478" w:rsidRDefault="002B3478" w:rsidP="00FC5EF8">
      <w:pPr>
        <w:pStyle w:val="FootnoteText"/>
      </w:pPr>
      <w:r>
        <w:rPr>
          <w:rStyle w:val="FootnoteReference"/>
        </w:rPr>
        <w:footnoteRef/>
      </w:r>
      <w:r>
        <w:t xml:space="preserve"> Only a shareholder may petition on this ground</w:t>
      </w:r>
    </w:p>
  </w:footnote>
  <w:footnote w:id="2">
    <w:p w:rsidR="002B3478" w:rsidRPr="00AA2969" w:rsidRDefault="002B3478">
      <w:pPr>
        <w:pStyle w:val="FootnoteText"/>
      </w:pPr>
      <w:r>
        <w:rPr>
          <w:rStyle w:val="FootnoteReference"/>
        </w:rPr>
        <w:footnoteRef/>
      </w:r>
      <w:r>
        <w:t xml:space="preserve"> The court has no power to extend this period: </w:t>
      </w:r>
      <w:proofErr w:type="spellStart"/>
      <w:r>
        <w:rPr>
          <w:i/>
        </w:rPr>
        <w:t>Tropicolor</w:t>
      </w:r>
      <w:proofErr w:type="spellEnd"/>
      <w:r>
        <w:rPr>
          <w:i/>
        </w:rPr>
        <w:t xml:space="preserve"> (Pty) Ltd v Hetherington &amp; Ors</w:t>
      </w:r>
      <w:r>
        <w:t xml:space="preserve"> 1990 SCAR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B1120"/>
    <w:multiLevelType w:val="hybridMultilevel"/>
    <w:tmpl w:val="5346F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78959D1"/>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3EF44D1"/>
    <w:multiLevelType w:val="hybridMultilevel"/>
    <w:tmpl w:val="A66634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7AAF6783"/>
    <w:multiLevelType w:val="hybridMultilevel"/>
    <w:tmpl w:val="B72A5DA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7F4C54D4"/>
    <w:multiLevelType w:val="hybridMultilevel"/>
    <w:tmpl w:val="3C561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3"/>
  </w:num>
  <w:num w:numId="12">
    <w:abstractNumId w:val="4"/>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D0D73"/>
    <w:rsid w:val="00025015"/>
    <w:rsid w:val="00052201"/>
    <w:rsid w:val="00094125"/>
    <w:rsid w:val="000F2B95"/>
    <w:rsid w:val="00105480"/>
    <w:rsid w:val="00124D1E"/>
    <w:rsid w:val="00133CDB"/>
    <w:rsid w:val="00183252"/>
    <w:rsid w:val="001C6501"/>
    <w:rsid w:val="001E7893"/>
    <w:rsid w:val="002023BF"/>
    <w:rsid w:val="002111DD"/>
    <w:rsid w:val="002B3478"/>
    <w:rsid w:val="002C4A8A"/>
    <w:rsid w:val="002D0D73"/>
    <w:rsid w:val="00301E87"/>
    <w:rsid w:val="003474BC"/>
    <w:rsid w:val="0039090D"/>
    <w:rsid w:val="003D4E22"/>
    <w:rsid w:val="003E4B7C"/>
    <w:rsid w:val="004A1DD1"/>
    <w:rsid w:val="004D1EB9"/>
    <w:rsid w:val="0052480D"/>
    <w:rsid w:val="00553887"/>
    <w:rsid w:val="005A7537"/>
    <w:rsid w:val="005D2B84"/>
    <w:rsid w:val="00645EC4"/>
    <w:rsid w:val="006506D1"/>
    <w:rsid w:val="006566CA"/>
    <w:rsid w:val="00663F03"/>
    <w:rsid w:val="00666F95"/>
    <w:rsid w:val="00713D4C"/>
    <w:rsid w:val="0078074E"/>
    <w:rsid w:val="0078435E"/>
    <w:rsid w:val="0079745C"/>
    <w:rsid w:val="00811A17"/>
    <w:rsid w:val="008141F9"/>
    <w:rsid w:val="00845FC6"/>
    <w:rsid w:val="008A4D19"/>
    <w:rsid w:val="008B47CC"/>
    <w:rsid w:val="008D30E6"/>
    <w:rsid w:val="00922A9A"/>
    <w:rsid w:val="00944358"/>
    <w:rsid w:val="00951E28"/>
    <w:rsid w:val="00984A94"/>
    <w:rsid w:val="0098791B"/>
    <w:rsid w:val="00A142BF"/>
    <w:rsid w:val="00A5197D"/>
    <w:rsid w:val="00AA2969"/>
    <w:rsid w:val="00AD07FA"/>
    <w:rsid w:val="00AD5EE7"/>
    <w:rsid w:val="00B04E7C"/>
    <w:rsid w:val="00B14EF8"/>
    <w:rsid w:val="00B3435C"/>
    <w:rsid w:val="00BA2C82"/>
    <w:rsid w:val="00BF3FF0"/>
    <w:rsid w:val="00C32F8F"/>
    <w:rsid w:val="00C3493C"/>
    <w:rsid w:val="00C8191B"/>
    <w:rsid w:val="00CA37BF"/>
    <w:rsid w:val="00D25969"/>
    <w:rsid w:val="00D41538"/>
    <w:rsid w:val="00D94220"/>
    <w:rsid w:val="00DB461E"/>
    <w:rsid w:val="00E17DF8"/>
    <w:rsid w:val="00E779D7"/>
    <w:rsid w:val="00E87B9D"/>
    <w:rsid w:val="00EA0505"/>
    <w:rsid w:val="00EF12CB"/>
    <w:rsid w:val="00EF667F"/>
    <w:rsid w:val="00F47731"/>
    <w:rsid w:val="00F67511"/>
    <w:rsid w:val="00FB74F2"/>
    <w:rsid w:val="00FC5EF8"/>
    <w:rsid w:val="00FE1004"/>
    <w:rsid w:val="00FF5E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240" w:after="200"/>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731"/>
    <w:rPr>
      <w:rFonts w:ascii="Times New Roman" w:hAnsi="Times New Roman"/>
      <w:sz w:val="24"/>
    </w:rPr>
  </w:style>
  <w:style w:type="paragraph" w:styleId="Heading1">
    <w:name w:val="heading 1"/>
    <w:basedOn w:val="Normal"/>
    <w:next w:val="Normal"/>
    <w:link w:val="Heading1Char"/>
    <w:autoRedefine/>
    <w:uiPriority w:val="9"/>
    <w:qFormat/>
    <w:rsid w:val="00F47731"/>
    <w:pPr>
      <w:keepNext/>
      <w:keepLines/>
      <w:spacing w:before="480" w:after="0"/>
      <w:outlineLvl w:val="0"/>
    </w:pPr>
    <w:rPr>
      <w:rFonts w:asciiTheme="majorHAnsi" w:eastAsiaTheme="majorEastAsia" w:hAnsiTheme="majorHAnsi" w:cstheme="majorBidi"/>
      <w:b/>
      <w:bCs/>
      <w:color w:val="0070C0"/>
      <w:sz w:val="28"/>
      <w:szCs w:val="28"/>
    </w:rPr>
  </w:style>
  <w:style w:type="paragraph" w:styleId="Heading2">
    <w:name w:val="heading 2"/>
    <w:basedOn w:val="Normal"/>
    <w:next w:val="Normal"/>
    <w:link w:val="Heading2Char"/>
    <w:autoRedefine/>
    <w:uiPriority w:val="9"/>
    <w:unhideWhenUsed/>
    <w:qFormat/>
    <w:rsid w:val="00FC5EF8"/>
    <w:pPr>
      <w:keepNext/>
      <w:keepLines/>
      <w:spacing w:before="200" w:after="0"/>
      <w:contextualSpacing/>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autoRedefine/>
    <w:uiPriority w:val="9"/>
    <w:unhideWhenUsed/>
    <w:qFormat/>
    <w:rsid w:val="00F47731"/>
    <w:pPr>
      <w:keepNext/>
      <w:keepLines/>
      <w:spacing w:before="200" w:after="0"/>
      <w:outlineLvl w:val="2"/>
    </w:pPr>
    <w:rPr>
      <w:rFonts w:asciiTheme="majorHAnsi" w:eastAsiaTheme="majorEastAsia" w:hAnsiTheme="majorHAnsi" w:cstheme="majorBidi"/>
      <w:b/>
      <w:bCs/>
      <w:color w:val="0070C0"/>
    </w:rPr>
  </w:style>
  <w:style w:type="paragraph" w:styleId="Heading4">
    <w:name w:val="heading 4"/>
    <w:basedOn w:val="Normal"/>
    <w:next w:val="Normal"/>
    <w:link w:val="Heading4Char"/>
    <w:uiPriority w:val="9"/>
    <w:unhideWhenUsed/>
    <w:qFormat/>
    <w:rsid w:val="00F477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4773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4773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4773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4773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4773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31"/>
    <w:rPr>
      <w:rFonts w:asciiTheme="majorHAnsi" w:eastAsiaTheme="majorEastAsia" w:hAnsiTheme="majorHAnsi" w:cstheme="majorBidi"/>
      <w:b/>
      <w:bCs/>
      <w:color w:val="0070C0"/>
      <w:sz w:val="28"/>
      <w:szCs w:val="28"/>
    </w:rPr>
  </w:style>
  <w:style w:type="character" w:customStyle="1" w:styleId="Heading2Char">
    <w:name w:val="Heading 2 Char"/>
    <w:basedOn w:val="DefaultParagraphFont"/>
    <w:link w:val="Heading2"/>
    <w:uiPriority w:val="9"/>
    <w:rsid w:val="00FC5EF8"/>
    <w:rPr>
      <w:rFonts w:asciiTheme="majorHAnsi" w:eastAsiaTheme="majorEastAsia" w:hAnsiTheme="majorHAnsi" w:cstheme="majorBidi"/>
      <w:b/>
      <w:bCs/>
      <w:color w:val="0070C0"/>
      <w:sz w:val="26"/>
      <w:szCs w:val="26"/>
    </w:rPr>
  </w:style>
  <w:style w:type="character" w:customStyle="1" w:styleId="Heading3Char">
    <w:name w:val="Heading 3 Char"/>
    <w:basedOn w:val="DefaultParagraphFont"/>
    <w:link w:val="Heading3"/>
    <w:uiPriority w:val="9"/>
    <w:rsid w:val="00F47731"/>
    <w:rPr>
      <w:rFonts w:asciiTheme="majorHAnsi" w:eastAsiaTheme="majorEastAsia" w:hAnsiTheme="majorHAnsi" w:cstheme="majorBidi"/>
      <w:b/>
      <w:bCs/>
      <w:color w:val="0070C0"/>
      <w:sz w:val="24"/>
    </w:rPr>
  </w:style>
  <w:style w:type="character" w:customStyle="1" w:styleId="Heading4Char">
    <w:name w:val="Heading 4 Char"/>
    <w:basedOn w:val="DefaultParagraphFont"/>
    <w:link w:val="Heading4"/>
    <w:uiPriority w:val="9"/>
    <w:rsid w:val="00F4773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F4773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F4773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F4773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F477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47731"/>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47731"/>
    <w:pPr>
      <w:contextualSpacing/>
    </w:pPr>
  </w:style>
  <w:style w:type="paragraph" w:styleId="NoSpacing">
    <w:name w:val="No Spacing"/>
    <w:uiPriority w:val="1"/>
    <w:qFormat/>
    <w:rsid w:val="00F47731"/>
    <w:pPr>
      <w:spacing w:before="0" w:after="0"/>
    </w:pPr>
    <w:rPr>
      <w:rFonts w:ascii="Times New Roman" w:hAnsi="Times New Roman"/>
      <w:sz w:val="24"/>
    </w:rPr>
  </w:style>
  <w:style w:type="table" w:styleId="TableGrid">
    <w:name w:val="Table Grid"/>
    <w:basedOn w:val="TableNormal"/>
    <w:uiPriority w:val="59"/>
    <w:rsid w:val="00AD5EE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atutes-3-paragraph">
    <w:name w:val="estatutes-3-paragraph"/>
    <w:basedOn w:val="Normal"/>
    <w:rsid w:val="008B47CC"/>
    <w:pPr>
      <w:spacing w:before="100" w:beforeAutospacing="1" w:after="100" w:afterAutospacing="1"/>
      <w:ind w:left="0"/>
      <w:jc w:val="left"/>
    </w:pPr>
    <w:rPr>
      <w:rFonts w:eastAsia="Times New Roman" w:cs="Times New Roman"/>
      <w:szCs w:val="24"/>
      <w:lang w:eastAsia="en-GB"/>
    </w:rPr>
  </w:style>
  <w:style w:type="paragraph" w:styleId="FootnoteText">
    <w:name w:val="footnote text"/>
    <w:basedOn w:val="Normal"/>
    <w:link w:val="FootnoteTextChar"/>
    <w:uiPriority w:val="99"/>
    <w:semiHidden/>
    <w:unhideWhenUsed/>
    <w:rsid w:val="003474BC"/>
    <w:pPr>
      <w:spacing w:before="0" w:after="0"/>
    </w:pPr>
    <w:rPr>
      <w:sz w:val="20"/>
      <w:szCs w:val="20"/>
    </w:rPr>
  </w:style>
  <w:style w:type="character" w:customStyle="1" w:styleId="FootnoteTextChar">
    <w:name w:val="Footnote Text Char"/>
    <w:basedOn w:val="DefaultParagraphFont"/>
    <w:link w:val="FootnoteText"/>
    <w:uiPriority w:val="99"/>
    <w:semiHidden/>
    <w:rsid w:val="003474BC"/>
    <w:rPr>
      <w:rFonts w:ascii="Times New Roman" w:hAnsi="Times New Roman"/>
      <w:sz w:val="20"/>
      <w:szCs w:val="20"/>
    </w:rPr>
  </w:style>
  <w:style w:type="character" w:styleId="FootnoteReference">
    <w:name w:val="footnote reference"/>
    <w:basedOn w:val="DefaultParagraphFont"/>
    <w:uiPriority w:val="99"/>
    <w:semiHidden/>
    <w:unhideWhenUsed/>
    <w:rsid w:val="003474BC"/>
    <w:rPr>
      <w:vertAlign w:val="superscript"/>
    </w:rPr>
  </w:style>
  <w:style w:type="paragraph" w:styleId="Header">
    <w:name w:val="header"/>
    <w:basedOn w:val="Normal"/>
    <w:link w:val="HeaderChar"/>
    <w:uiPriority w:val="99"/>
    <w:semiHidden/>
    <w:unhideWhenUsed/>
    <w:rsid w:val="004D1EB9"/>
    <w:pPr>
      <w:tabs>
        <w:tab w:val="center" w:pos="4513"/>
        <w:tab w:val="right" w:pos="9026"/>
      </w:tabs>
      <w:spacing w:before="0" w:after="0"/>
    </w:pPr>
  </w:style>
  <w:style w:type="character" w:customStyle="1" w:styleId="HeaderChar">
    <w:name w:val="Header Char"/>
    <w:basedOn w:val="DefaultParagraphFont"/>
    <w:link w:val="Header"/>
    <w:uiPriority w:val="99"/>
    <w:semiHidden/>
    <w:rsid w:val="004D1EB9"/>
    <w:rPr>
      <w:rFonts w:ascii="Times New Roman" w:hAnsi="Times New Roman"/>
      <w:sz w:val="24"/>
    </w:rPr>
  </w:style>
  <w:style w:type="paragraph" w:styleId="Footer">
    <w:name w:val="footer"/>
    <w:basedOn w:val="Normal"/>
    <w:link w:val="FooterChar"/>
    <w:uiPriority w:val="99"/>
    <w:unhideWhenUsed/>
    <w:rsid w:val="004D1EB9"/>
    <w:pPr>
      <w:tabs>
        <w:tab w:val="center" w:pos="4513"/>
        <w:tab w:val="right" w:pos="9026"/>
      </w:tabs>
      <w:spacing w:before="0" w:after="0"/>
    </w:pPr>
  </w:style>
  <w:style w:type="character" w:customStyle="1" w:styleId="FooterChar">
    <w:name w:val="Footer Char"/>
    <w:basedOn w:val="DefaultParagraphFont"/>
    <w:link w:val="Footer"/>
    <w:uiPriority w:val="99"/>
    <w:rsid w:val="004D1EB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24553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A000BB-5A46-4766-A4E9-AD6D19A6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2334</Words>
  <Characters>13307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2</cp:revision>
  <dcterms:created xsi:type="dcterms:W3CDTF">2016-04-06T14:17:00Z</dcterms:created>
  <dcterms:modified xsi:type="dcterms:W3CDTF">2016-04-06T14:17:00Z</dcterms:modified>
</cp:coreProperties>
</file>